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 w:before="1200"/>
      </w:pPr>
      <w:r>
        <w:rPr>
          <w:rFonts w:ascii="Arial" w:cs="Arial" w:eastAsia="Arial" w:hAnsi="Arial"/>
          <w:b/>
          <w:bCs/>
          <w:color w:val="C8960C"/>
          <w:spacing w:val="60"/>
          <w:sz w:val="200"/>
          <w:szCs w:val="200"/>
        </w:rPr>
        <w:t xml:space="preserve">CERTIFICATION INTERNATIONALE EN INGÉNIERIE VERTE — v2.0 — ADEME &amp; EUROPE</w:t>
      </w:r>
    </w:p>
    <w:p>
      <w:pPr>
        <w:pBdr>
          <w:bottom w:val="single" w:color="0D4A2E" w:sz="14"/>
        </w:pBdr>
        <w:spacing w:after="160" w:before="0"/>
      </w:pPr>
      <w:r>
        <w:rPr>
          <w:rFonts w:ascii="Arial" w:cs="Arial" w:eastAsia="Arial" w:hAnsi="Arial"/>
          <w:b/>
          <w:bCs/>
          <w:color w:val="0D4A2E"/>
          <w:sz w:val="800"/>
          <w:szCs w:val="800"/>
        </w:rPr>
        <w:t xml:space="preserve">GREEN</w:t>
      </w:r>
      <w:r>
        <w:rPr>
          <w:rFonts w:ascii="Arial" w:cs="Arial" w:eastAsia="Arial" w:hAnsi="Arial"/>
          <w:b/>
          <w:bCs/>
          <w:color w:val="2E7D52"/>
          <w:sz w:val="800"/>
          <w:szCs w:val="800"/>
        </w:rPr>
        <w:t xml:space="preserve">  WORLD</w:t>
      </w:r>
      <w:r>
        <w:rPr>
          <w:rFonts w:ascii="Arial" w:cs="Arial" w:eastAsia="Arial" w:hAnsi="Arial"/>
          <w:b/>
          <w:bCs/>
          <w:color w:val="C8960C"/>
          <w:sz w:val="800"/>
          <w:szCs w:val="800"/>
        </w:rPr>
        <w:t xml:space="preserve">  PLANET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pPr>
        <w:spacing w:after="80" w:before="0"/>
      </w:pPr>
      <w:r>
        <w:rPr>
          <w:rFonts w:ascii="Arial" w:cs="Arial" w:eastAsia="Arial" w:hAnsi="Arial"/>
          <w:color w:val="555555"/>
          <w:sz w:val="280"/>
          <w:szCs w:val="280"/>
        </w:rPr>
        <w:t xml:space="preserve">Référentiel Officiel de Certification — Version 2.0 — Mai 2026</w:t>
      </w:r>
    </w:p>
    <w:p>
      <w:pPr>
        <w:spacing w:after="80" w:before="0"/>
      </w:pPr>
      <w:r>
        <w:rPr>
          <w:rFonts w:ascii="Arial" w:cs="Arial" w:eastAsia="Arial" w:hAnsi="Arial"/>
          <w:i/>
          <w:iCs/>
          <w:color w:val="2E7D52"/>
          <w:sz w:val="220"/>
          <w:szCs w:val="220"/>
        </w:rPr>
        <w:t xml:space="preserve">Aligné ADEME Bilan Carbone® · Taxonomie Verte UE · Fit for 55 · RED III · CSRD · RE2020</w:t>
      </w:r>
    </w:p>
    <w:p>
      <w:pPr>
        <w:spacing w:after="80" w:before="0"/>
      </w:pPr>
      <w:r>
        <w:rPr>
          <w:rFonts w:ascii="Arial" w:cs="Arial" w:eastAsia="Arial" w:hAnsi="Arial"/>
          <w:i/>
          <w:iCs/>
          <w:color w:val="555555"/>
          <w:sz w:val="220"/>
          <w:szCs w:val="220"/>
        </w:rPr>
        <w:t xml:space="preserve">5 Domaines · 4 Niveaux · 8 Bureaux — Paris · Bruxelles · Londres · Berlin · Alger · Riyad · Shanghai · Moscou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56"/>
        <w:gridCol w:w="2257"/>
        <w:gridCol w:w="2256"/>
        <w:gridCol w:w="2257"/>
      </w:tblGrid>
      <w:tr>
        <w:tc>
          <w:tcPr>
            <w:tcW w:type="dxa" w:w="225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D4EDD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D4A2E"/>
                <w:sz w:val="240"/>
                <w:szCs w:val="240"/>
              </w:rPr>
              <w:t xml:space="preserve">5 Domaines GWP</w:t>
            </w:r>
          </w:p>
        </w:tc>
        <w:tc>
          <w:tcPr>
            <w:tcW w:type="dxa" w:w="2257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D4EDD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D4A2E"/>
                <w:sz w:val="240"/>
                <w:szCs w:val="240"/>
              </w:rPr>
              <w:t xml:space="preserve">4 Niveaux</w:t>
            </w:r>
          </w:p>
        </w:tc>
        <w:tc>
          <w:tcPr>
            <w:tcW w:type="dxa" w:w="225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D4EDD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D4A2E"/>
                <w:sz w:val="240"/>
                <w:szCs w:val="240"/>
              </w:rPr>
              <w:t xml:space="preserve">8 Bureaux</w:t>
            </w:r>
          </w:p>
        </w:tc>
        <w:tc>
          <w:tcPr>
            <w:tcW w:type="dxa" w:w="2257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D4EDD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D4A2E"/>
                <w:sz w:val="240"/>
                <w:szCs w:val="240"/>
              </w:rPr>
              <w:t xml:space="preserve">6 Dirigeants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pPr>
        <w:tabs>
          <w:tab w:val="left" w:pos="3000"/>
        </w:tabs>
        <w:spacing w:after="80" w:before="40"/>
      </w:pPr>
      <w:r>
        <w:rPr>
          <w:rFonts w:ascii="Arial" w:cs="Arial" w:eastAsia="Arial" w:hAnsi="Arial"/>
          <w:b/>
          <w:bCs/>
          <w:color w:val="C8960C"/>
          <w:sz w:val="220"/>
          <w:szCs w:val="220"/>
        </w:rPr>
        <w:t xml:space="preserve">Référence</w:t>
      </w:r>
      <w:r>
        <w:rPr>
          <w:rFonts w:ascii="Arial" w:cs="Arial" w:eastAsia="Arial" w:hAnsi="Arial"/>
          <w:color w:val="111111"/>
          <w:sz w:val="220"/>
          <w:szCs w:val="220"/>
        </w:rPr>
        <w:t xml:space="preserve">	REF-GWP-2026-V2.0</w:t>
      </w:r>
    </w:p>
    <w:p>
      <w:pPr>
        <w:tabs>
          <w:tab w:val="left" w:pos="3000"/>
        </w:tabs>
        <w:spacing w:after="80" w:before="40"/>
      </w:pPr>
      <w:r>
        <w:rPr>
          <w:rFonts w:ascii="Arial" w:cs="Arial" w:eastAsia="Arial" w:hAnsi="Arial"/>
          <w:b/>
          <w:bCs/>
          <w:color w:val="C8960C"/>
          <w:sz w:val="220"/>
          <w:szCs w:val="220"/>
        </w:rPr>
        <w:t xml:space="preserve">Version</w:t>
      </w:r>
      <w:r>
        <w:rPr>
          <w:rFonts w:ascii="Arial" w:cs="Arial" w:eastAsia="Arial" w:hAnsi="Arial"/>
          <w:color w:val="111111"/>
          <w:sz w:val="220"/>
          <w:szCs w:val="220"/>
        </w:rPr>
        <w:t xml:space="preserve">	2.0 — Mai 2026 — Alignement ADEME &amp; Europe</w:t>
      </w:r>
    </w:p>
    <w:p>
      <w:pPr>
        <w:tabs>
          <w:tab w:val="left" w:pos="3000"/>
        </w:tabs>
        <w:spacing w:after="80" w:before="40"/>
      </w:pPr>
      <w:r>
        <w:rPr>
          <w:rFonts w:ascii="Arial" w:cs="Arial" w:eastAsia="Arial" w:hAnsi="Arial"/>
          <w:b/>
          <w:bCs/>
          <w:color w:val="C8960C"/>
          <w:sz w:val="220"/>
          <w:szCs w:val="220"/>
        </w:rPr>
        <w:t xml:space="preserve">Statut</w:t>
      </w:r>
      <w:r>
        <w:rPr>
          <w:rFonts w:ascii="Arial" w:cs="Arial" w:eastAsia="Arial" w:hAnsi="Arial"/>
          <w:color w:val="111111"/>
          <w:sz w:val="220"/>
          <w:szCs w:val="220"/>
        </w:rPr>
        <w:t xml:space="preserve">	Référentiel officiel — Diffusion publique</w:t>
      </w:r>
    </w:p>
    <w:p>
      <w:pPr>
        <w:tabs>
          <w:tab w:val="left" w:pos="3000"/>
        </w:tabs>
        <w:spacing w:after="80" w:before="40"/>
      </w:pPr>
      <w:r>
        <w:rPr>
          <w:rFonts w:ascii="Arial" w:cs="Arial" w:eastAsia="Arial" w:hAnsi="Arial"/>
          <w:b/>
          <w:bCs/>
          <w:color w:val="C8960C"/>
          <w:sz w:val="220"/>
          <w:szCs w:val="220"/>
        </w:rPr>
        <w:t xml:space="preserve">Continents</w:t>
      </w:r>
      <w:r>
        <w:rPr>
          <w:rFonts w:ascii="Arial" w:cs="Arial" w:eastAsia="Arial" w:hAnsi="Arial"/>
          <w:color w:val="111111"/>
          <w:sz w:val="220"/>
          <w:szCs w:val="220"/>
        </w:rPr>
        <w:t xml:space="preserve">	Afrique · Moyen-Orient · Asie · Europe</w:t>
      </w:r>
    </w:p>
    <w:p>
      <w:pPr>
        <w:tabs>
          <w:tab w:val="left" w:pos="3000"/>
        </w:tabs>
        <w:spacing w:after="80" w:before="40"/>
      </w:pPr>
      <w:r>
        <w:rPr>
          <w:rFonts w:ascii="Arial" w:cs="Arial" w:eastAsia="Arial" w:hAnsi="Arial"/>
          <w:b/>
          <w:bCs/>
          <w:color w:val="C8960C"/>
          <w:sz w:val="220"/>
          <w:szCs w:val="220"/>
        </w:rPr>
        <w:t xml:space="preserve">Émetteur</w:t>
      </w:r>
      <w:r>
        <w:rPr>
          <w:rFonts w:ascii="Arial" w:cs="Arial" w:eastAsia="Arial" w:hAnsi="Arial"/>
          <w:color w:val="111111"/>
          <w:sz w:val="220"/>
          <w:szCs w:val="220"/>
        </w:rPr>
        <w:t xml:space="preserve">	Green World Planet — Ingénierie 3.0</w:t>
      </w:r>
    </w:p>
    <w:p>
      <w:pPr>
        <w:tabs>
          <w:tab w:val="left" w:pos="3000"/>
        </w:tabs>
        <w:spacing w:after="80" w:before="40"/>
      </w:pPr>
      <w:r>
        <w:rPr>
          <w:rFonts w:ascii="Arial" w:cs="Arial" w:eastAsia="Arial" w:hAnsi="Arial"/>
          <w:b/>
          <w:bCs/>
          <w:color w:val="C8960C"/>
          <w:sz w:val="220"/>
          <w:szCs w:val="220"/>
        </w:rPr>
        <w:t xml:space="preserve">Contact Paris</w:t>
      </w:r>
      <w:r>
        <w:rPr>
          <w:rFonts w:ascii="Arial" w:cs="Arial" w:eastAsia="Arial" w:hAnsi="Arial"/>
          <w:color w:val="111111"/>
          <w:sz w:val="220"/>
          <w:szCs w:val="220"/>
        </w:rPr>
        <w:t xml:space="preserve">	gwtmarielefebvre@green-world-planet.com</w:t>
      </w:r>
    </w:p>
    <w:p>
      <w:pPr>
        <w:tabs>
          <w:tab w:val="left" w:pos="3000"/>
        </w:tabs>
        <w:spacing w:after="80" w:before="40"/>
      </w:pPr>
      <w:r>
        <w:rPr>
          <w:rFonts w:ascii="Arial" w:cs="Arial" w:eastAsia="Arial" w:hAnsi="Arial"/>
          <w:b/>
          <w:bCs/>
          <w:color w:val="C8960C"/>
          <w:sz w:val="220"/>
          <w:szCs w:val="220"/>
        </w:rPr>
        <w:t xml:space="preserve">Site web</w:t>
      </w:r>
      <w:r>
        <w:rPr>
          <w:rFonts w:ascii="Arial" w:cs="Arial" w:eastAsia="Arial" w:hAnsi="Arial"/>
          <w:color w:val="111111"/>
          <w:sz w:val="220"/>
          <w:szCs w:val="220"/>
        </w:rPr>
        <w:t xml:space="preserve">	green-world-planet.com</w:t>
      </w:r>
    </w:p>
    <w:p>
      <w:r>
        <w:br w:type="page"/>
      </w:r>
    </w:p>
    <w:p>
      <w:pPr>
        <w:pStyle w:val="Heading1"/>
        <w:pBdr>
          <w:bottom w:val="single" w:color="C8960C" w:sz="6"/>
        </w:pBdr>
        <w:spacing w:after="160" w:before="320"/>
      </w:pPr>
      <w:r>
        <w:rPr>
          <w:rFonts w:ascii="Arial" w:cs="Arial" w:eastAsia="Arial" w:hAnsi="Arial"/>
          <w:b/>
          <w:bCs/>
          <w:color w:val="0D4A2E"/>
          <w:sz w:val="320"/>
          <w:szCs w:val="320"/>
        </w:rPr>
        <w:t xml:space="preserve">1. Présentation de Green World Planet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pPr>
        <w:spacing w:after="120" w:before="6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Green World Planet (GWP) est le premier système de certification internationale dédié à l'ingénierie verte et aux projets d'énergies renouvelables. Créé par Ingénierie 3.0, aligné sur la méthode ADEME Bilan Carbone®, la Taxonomie Verte Européenne, Fit for 55, RED III, CSRD et RE2020. Présent sur 4 continents depuis 8 bureaux internationaux.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C8960C"/>
          <w:sz w:val="260"/>
          <w:szCs w:val="260"/>
        </w:rPr>
        <w:t xml:space="preserve">Mission</w:t>
      </w:r>
    </w:p>
    <w:p>
      <w:pPr>
        <w:spacing w:after="120" w:before="6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Reconnaître, valoriser et accélérer la transformation des acteurs contribuant à la transition énergétique mondiale — Afrique, Moyen-Orient, Asie, Europe.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C8960C"/>
          <w:sz w:val="260"/>
          <w:szCs w:val="260"/>
        </w:rPr>
        <w:t xml:space="preserve">Valeurs fondatrices</w:t>
      </w:r>
    </w:p>
    <w:p>
      <w:pPr>
        <w:pStyle w:val="ListParagraph"/>
        <w:numPr>
          <w:ilvl w:val="0"/>
          <w:numId w:val="2"/>
        </w:numPr>
        <w:spacing w:after="8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Rigueur — Référentiel basé sur les critères ADEME et les règlements européens vérifiables</w:t>
      </w:r>
    </w:p>
    <w:p>
      <w:pPr>
        <w:pStyle w:val="ListParagraph"/>
        <w:numPr>
          <w:ilvl w:val="0"/>
          <w:numId w:val="2"/>
        </w:numPr>
        <w:spacing w:after="8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Indépendance — Jury composé d'experts internationaux en ingénierie, environnement et finance verte</w:t>
      </w:r>
    </w:p>
    <w:p>
      <w:pPr>
        <w:pStyle w:val="ListParagraph"/>
        <w:numPr>
          <w:ilvl w:val="0"/>
          <w:numId w:val="2"/>
        </w:numPr>
        <w:spacing w:after="8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Accessibilité — Ouvert à tous les acteurs, quelle que soit leur taille ou leur pays</w:t>
      </w:r>
    </w:p>
    <w:p>
      <w:pPr>
        <w:pStyle w:val="ListParagraph"/>
        <w:numPr>
          <w:ilvl w:val="0"/>
          <w:numId w:val="2"/>
        </w:numPr>
        <w:spacing w:after="8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Innovation — 6 solutions GES Ingénierie 3.0 comme références d'excellence et de benchmarking</w:t>
      </w:r>
    </w:p>
    <w:p>
      <w:pPr>
        <w:pStyle w:val="ListParagraph"/>
        <w:numPr>
          <w:ilvl w:val="0"/>
          <w:numId w:val="2"/>
        </w:numPr>
        <w:spacing w:after="8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Impact — Résultats réels alignés aux objectifs ADEME et Fit for 55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r>
        <w:br w:type="page"/>
      </w:r>
    </w:p>
    <w:p>
      <w:pPr>
        <w:pStyle w:val="Heading1"/>
        <w:pBdr>
          <w:bottom w:val="single" w:color="C8960C" w:sz="6"/>
        </w:pBdr>
        <w:spacing w:after="160" w:before="320"/>
      </w:pPr>
      <w:r>
        <w:rPr>
          <w:rFonts w:ascii="Arial" w:cs="Arial" w:eastAsia="Arial" w:hAnsi="Arial"/>
          <w:b/>
          <w:bCs/>
          <w:color w:val="0D4A2E"/>
          <w:sz w:val="320"/>
          <w:szCs w:val="320"/>
        </w:rPr>
        <w:t xml:space="preserve">2. Équipe Dirigeante Green World Planet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pPr>
        <w:spacing w:after="120" w:before="6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La certification GWP engage la signature et la réputation de l'équipe dirigeante. Chaque niveau correspond à un protocole de signature spécifique.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4"/>
        <w:gridCol w:w="1504"/>
        <w:gridCol w:w="1504"/>
        <w:gridCol w:w="1504"/>
        <w:gridCol w:w="1504"/>
        <w:gridCol w:w="1506"/>
      </w:tblGrid>
      <w:tr>
        <w:tc>
          <w:tcPr>
            <w:tcW w:type="dxa" w:w="1504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D4EDD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4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4A2E"/>
                <w:sz w:val="180"/>
                <w:szCs w:val="180"/>
              </w:rPr>
              <w:t xml:space="preserve">EV</w:t>
            </w:r>
          </w:p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4A2E"/>
                <w:sz w:val="180"/>
                <w:szCs w:val="180"/>
              </w:rPr>
              <w:t xml:space="preserve">Eric Vincent</w:t>
            </w:r>
          </w:p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4A2E"/>
                <w:sz w:val="180"/>
                <w:szCs w:val="180"/>
              </w:rPr>
              <w:t xml:space="preserve">Dir. Stratégie Intl.</w:t>
            </w:r>
          </w:p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4A2E"/>
                <w:sz w:val="180"/>
                <w:szCs w:val="180"/>
              </w:rPr>
              <w:t xml:space="preserve">Paris · Bruxelles · Riyad</w:t>
            </w:r>
          </w:p>
        </w:tc>
        <w:tc>
          <w:tcPr>
            <w:tcW w:type="dxa" w:w="1504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D4EDD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4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4A2E"/>
                <w:sz w:val="180"/>
                <w:szCs w:val="180"/>
              </w:rPr>
              <w:t xml:space="preserve">ML</w:t>
            </w:r>
          </w:p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4A2E"/>
                <w:sz w:val="180"/>
                <w:szCs w:val="180"/>
              </w:rPr>
              <w:t xml:space="preserve">Marie Lefebvre</w:t>
            </w:r>
          </w:p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4A2E"/>
                <w:sz w:val="180"/>
                <w:szCs w:val="180"/>
              </w:rPr>
              <w:t xml:space="preserve">Dir. Commerciale</w:t>
            </w:r>
          </w:p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4A2E"/>
                <w:sz w:val="180"/>
                <w:szCs w:val="180"/>
              </w:rPr>
              <w:t xml:space="preserve">Paris · Londres</w:t>
            </w:r>
          </w:p>
        </w:tc>
        <w:tc>
          <w:tcPr>
            <w:tcW w:type="dxa" w:w="1504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D4EDD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4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4A2E"/>
                <w:sz w:val="180"/>
                <w:szCs w:val="180"/>
              </w:rPr>
              <w:t xml:space="preserve">SW</w:t>
            </w:r>
          </w:p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4A2E"/>
                <w:sz w:val="180"/>
                <w:szCs w:val="180"/>
              </w:rPr>
              <w:t xml:space="preserve">Sonia Wissem</w:t>
            </w:r>
          </w:p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4A2E"/>
                <w:sz w:val="180"/>
                <w:szCs w:val="180"/>
              </w:rPr>
              <w:t xml:space="preserve">Dir. Exploitation</w:t>
            </w:r>
          </w:p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4A2E"/>
                <w:sz w:val="180"/>
                <w:szCs w:val="180"/>
              </w:rPr>
              <w:t xml:space="preserve">Paris · Alger</w:t>
            </w:r>
          </w:p>
        </w:tc>
        <w:tc>
          <w:tcPr>
            <w:tcW w:type="dxa" w:w="1504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D4EDD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4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4A2E"/>
                <w:sz w:val="180"/>
                <w:szCs w:val="180"/>
              </w:rPr>
              <w:t xml:space="preserve">NEB</w:t>
            </w:r>
          </w:p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4A2E"/>
                <w:sz w:val="180"/>
                <w:szCs w:val="180"/>
              </w:rPr>
              <w:t xml:space="preserve">Nadia El Banide</w:t>
            </w:r>
          </w:p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4A2E"/>
                <w:sz w:val="180"/>
                <w:szCs w:val="180"/>
              </w:rPr>
              <w:t xml:space="preserve">Dir. Gestion Risques</w:t>
            </w:r>
          </w:p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4A2E"/>
                <w:sz w:val="180"/>
                <w:szCs w:val="180"/>
              </w:rPr>
              <w:t xml:space="preserve">Paris · Bruxelles</w:t>
            </w:r>
          </w:p>
        </w:tc>
        <w:tc>
          <w:tcPr>
            <w:tcW w:type="dxa" w:w="1504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D4EDD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4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4A2E"/>
                <w:sz w:val="180"/>
                <w:szCs w:val="180"/>
              </w:rPr>
              <w:t xml:space="preserve">EF</w:t>
            </w:r>
          </w:p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4A2E"/>
                <w:sz w:val="180"/>
                <w:szCs w:val="180"/>
              </w:rPr>
              <w:t xml:space="preserve">Emmanuel Fitche</w:t>
            </w:r>
          </w:p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4A2E"/>
                <w:sz w:val="180"/>
                <w:szCs w:val="180"/>
              </w:rPr>
              <w:t xml:space="preserve">Dir. Zone Europe</w:t>
            </w:r>
          </w:p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4A2E"/>
                <w:sz w:val="180"/>
                <w:szCs w:val="180"/>
              </w:rPr>
              <w:t xml:space="preserve">Londres · Berlin · Bruxelles</w:t>
            </w:r>
          </w:p>
        </w:tc>
        <w:tc>
          <w:tcPr>
            <w:tcW w:type="dxa" w:w="150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D4EDD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4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4A2E"/>
                <w:sz w:val="180"/>
                <w:szCs w:val="180"/>
              </w:rPr>
              <w:t xml:space="preserve">CB</w:t>
            </w:r>
          </w:p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4A2E"/>
                <w:sz w:val="180"/>
                <w:szCs w:val="180"/>
              </w:rPr>
              <w:t xml:space="preserve">Cherif Bouzaroura</w:t>
            </w:r>
          </w:p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4A2E"/>
                <w:sz w:val="180"/>
                <w:szCs w:val="180"/>
              </w:rPr>
              <w:t xml:space="preserve">Dir. Zone Afrique</w:t>
            </w:r>
          </w:p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4A2E"/>
                <w:sz w:val="180"/>
                <w:szCs w:val="180"/>
              </w:rPr>
              <w:t xml:space="preserve">Alger · Afrique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C8960C"/>
          <w:sz w:val="260"/>
          <w:szCs w:val="260"/>
        </w:rPr>
        <w:t xml:space="preserve">Emails officiels par bureau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2200"/>
        <w:gridCol w:w="5326"/>
      </w:tblGrid>
      <w:tr>
        <w:tc>
          <w:tcPr>
            <w:tcW w:type="dxa" w:w="15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0D4A2E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0"/>
                <w:szCs w:val="200"/>
              </w:rPr>
              <w:t xml:space="preserve">Bureau</w:t>
            </w:r>
          </w:p>
        </w:tc>
        <w:tc>
          <w:tcPr>
            <w:tcW w:type="dxa" w:w="22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0D4A2E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0"/>
                <w:szCs w:val="200"/>
              </w:rPr>
              <w:t xml:space="preserve">Responsable</w:t>
            </w:r>
          </w:p>
        </w:tc>
        <w:tc>
          <w:tcPr>
            <w:tcW w:type="dxa" w:w="53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0D4A2E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0"/>
                <w:szCs w:val="200"/>
              </w:rPr>
              <w:t xml:space="preserve">Email officiel</w:t>
            </w:r>
          </w:p>
        </w:tc>
      </w:tr>
      <w:tr>
        <w:tc>
          <w:tcPr>
            <w:tcW w:type="dxa" w:w="15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D4EDD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00"/>
                <w:szCs w:val="200"/>
              </w:rPr>
              <w:t xml:space="preserve">Paris (Siège)</w:t>
            </w:r>
          </w:p>
        </w:tc>
        <w:tc>
          <w:tcPr>
            <w:tcW w:type="dxa" w:w="22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D4EDD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00"/>
                <w:szCs w:val="200"/>
              </w:rPr>
              <w:t xml:space="preserve">Marie Lefebvre</w:t>
            </w:r>
          </w:p>
        </w:tc>
        <w:tc>
          <w:tcPr>
            <w:tcW w:type="dxa" w:w="53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D4EDD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4A2E"/>
                <w:sz w:val="200"/>
                <w:szCs w:val="200"/>
              </w:rPr>
              <w:t xml:space="preserve">gwtmarielefebvre@green-world-planet.com</w:t>
            </w:r>
          </w:p>
        </w:tc>
      </w:tr>
      <w:tr>
        <w:tc>
          <w:tcPr>
            <w:tcW w:type="dxa" w:w="15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4FA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00"/>
                <w:szCs w:val="200"/>
              </w:rPr>
              <w:t xml:space="preserve">Bruxelles · Londres · Berlin</w:t>
            </w:r>
          </w:p>
        </w:tc>
        <w:tc>
          <w:tcPr>
            <w:tcW w:type="dxa" w:w="22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4FA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00"/>
                <w:szCs w:val="200"/>
              </w:rPr>
              <w:t xml:space="preserve">Emmanuel Fitche</w:t>
            </w:r>
          </w:p>
        </w:tc>
        <w:tc>
          <w:tcPr>
            <w:tcW w:type="dxa" w:w="53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4FA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4A2E"/>
                <w:sz w:val="200"/>
                <w:szCs w:val="200"/>
              </w:rPr>
              <w:t xml:space="preserve">gwtemanuelfitche@green-world-planet.com</w:t>
            </w:r>
          </w:p>
        </w:tc>
      </w:tr>
      <w:tr>
        <w:tc>
          <w:tcPr>
            <w:tcW w:type="dxa" w:w="15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D4EDD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00"/>
                <w:szCs w:val="200"/>
              </w:rPr>
              <w:t xml:space="preserve">Alger</w:t>
            </w:r>
          </w:p>
        </w:tc>
        <w:tc>
          <w:tcPr>
            <w:tcW w:type="dxa" w:w="22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D4EDD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00"/>
                <w:szCs w:val="200"/>
              </w:rPr>
              <w:t xml:space="preserve">Cherif Bouzaroura</w:t>
            </w:r>
          </w:p>
        </w:tc>
        <w:tc>
          <w:tcPr>
            <w:tcW w:type="dxa" w:w="53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D4EDD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4A2E"/>
                <w:sz w:val="200"/>
                <w:szCs w:val="200"/>
              </w:rPr>
              <w:t xml:space="preserve">gwtcherifbouzaroura@green-world-planet.com</w:t>
            </w:r>
          </w:p>
        </w:tc>
      </w:tr>
      <w:tr>
        <w:tc>
          <w:tcPr>
            <w:tcW w:type="dxa" w:w="15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4FA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00"/>
                <w:szCs w:val="200"/>
              </w:rPr>
              <w:t xml:space="preserve">Riyad · Shanghai</w:t>
            </w:r>
          </w:p>
        </w:tc>
        <w:tc>
          <w:tcPr>
            <w:tcW w:type="dxa" w:w="22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4FA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00"/>
                <w:szCs w:val="200"/>
              </w:rPr>
              <w:t xml:space="preserve">Eric Vincent</w:t>
            </w:r>
          </w:p>
        </w:tc>
        <w:tc>
          <w:tcPr>
            <w:tcW w:type="dxa" w:w="53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4FA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4A2E"/>
                <w:sz w:val="200"/>
                <w:szCs w:val="200"/>
              </w:rPr>
              <w:t xml:space="preserve">gwtericvincent@green-world-planet.com</w:t>
            </w:r>
          </w:p>
        </w:tc>
      </w:tr>
      <w:tr>
        <w:tc>
          <w:tcPr>
            <w:tcW w:type="dxa" w:w="15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D4EDD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00"/>
                <w:szCs w:val="200"/>
              </w:rPr>
              <w:t xml:space="preserve">Moscou</w:t>
            </w:r>
          </w:p>
        </w:tc>
        <w:tc>
          <w:tcPr>
            <w:tcW w:type="dxa" w:w="22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D4EDD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00"/>
                <w:szCs w:val="200"/>
              </w:rPr>
              <w:t xml:space="preserve">Nadia El Banide</w:t>
            </w:r>
          </w:p>
        </w:tc>
        <w:tc>
          <w:tcPr>
            <w:tcW w:type="dxa" w:w="53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D4EDD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4A2E"/>
                <w:sz w:val="200"/>
                <w:szCs w:val="200"/>
              </w:rPr>
              <w:t xml:space="preserve">gwtnadiaelbanide@green-world-planet.com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C8960C"/>
          <w:sz w:val="260"/>
          <w:szCs w:val="260"/>
        </w:rPr>
        <w:t xml:space="preserve">Protocole de signature par niveau de certification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2200"/>
        <w:gridCol w:w="2600"/>
        <w:gridCol w:w="2326"/>
      </w:tblGrid>
      <w:tr>
        <w:tc>
          <w:tcPr>
            <w:tcW w:type="dxa" w:w="19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0D4A2E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0"/>
                <w:szCs w:val="200"/>
              </w:rPr>
              <w:t xml:space="preserve">Niveau GWP</w:t>
            </w:r>
          </w:p>
        </w:tc>
        <w:tc>
          <w:tcPr>
            <w:tcW w:type="dxa" w:w="22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0D4A2E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0"/>
                <w:szCs w:val="200"/>
              </w:rPr>
              <w:t xml:space="preserve">Signataire(s)</w:t>
            </w:r>
          </w:p>
        </w:tc>
        <w:tc>
          <w:tcPr>
            <w:tcW w:type="dxa" w:w="26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0D4A2E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0"/>
                <w:szCs w:val="200"/>
              </w:rPr>
              <w:t xml:space="preserve">Fonction</w:t>
            </w:r>
          </w:p>
        </w:tc>
        <w:tc>
          <w:tcPr>
            <w:tcW w:type="dxa" w:w="23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0D4A2E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0"/>
                <w:szCs w:val="200"/>
              </w:rPr>
              <w:t xml:space="preserve">Valeur du label</w:t>
            </w:r>
          </w:p>
        </w:tc>
      </w:tr>
      <w:tr>
        <w:tc>
          <w:tcPr>
            <w:tcW w:type="dxa" w:w="19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D4EDD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2d6a2d"/>
                <w:sz w:val="200"/>
                <w:szCs w:val="200"/>
              </w:rPr>
              <w:t xml:space="preserve">GWP Essentiel</w:t>
            </w:r>
          </w:p>
        </w:tc>
        <w:tc>
          <w:tcPr>
            <w:tcW w:type="dxa" w:w="22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00"/>
                <w:szCs w:val="200"/>
              </w:rPr>
              <w:t xml:space="preserve">Sonia Wissem</w:t>
            </w:r>
          </w:p>
        </w:tc>
        <w:tc>
          <w:tcPr>
            <w:tcW w:type="dxa" w:w="26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0"/>
                <w:szCs w:val="200"/>
              </w:rPr>
              <w:t xml:space="preserve">Dir. Exploitation</w:t>
            </w:r>
          </w:p>
        </w:tc>
        <w:tc>
          <w:tcPr>
            <w:tcW w:type="dxa" w:w="23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190"/>
                <w:szCs w:val="190"/>
              </w:rPr>
              <w:t xml:space="preserve">Engagement fondamental</w:t>
            </w:r>
          </w:p>
        </w:tc>
      </w:tr>
      <w:tr>
        <w:tc>
          <w:tcPr>
            <w:tcW w:type="dxa" w:w="19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DCEEDE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D4A2E"/>
                <w:sz w:val="200"/>
                <w:szCs w:val="200"/>
              </w:rPr>
              <w:t xml:space="preserve">GWP Avancé</w:t>
            </w:r>
          </w:p>
        </w:tc>
        <w:tc>
          <w:tcPr>
            <w:tcW w:type="dxa" w:w="22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00"/>
                <w:szCs w:val="200"/>
              </w:rPr>
              <w:t xml:space="preserve">Eric Vincent</w:t>
            </w:r>
          </w:p>
        </w:tc>
        <w:tc>
          <w:tcPr>
            <w:tcW w:type="dxa" w:w="26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0"/>
                <w:szCs w:val="200"/>
              </w:rPr>
              <w:t xml:space="preserve">Dir. Stratégie Internationale</w:t>
            </w:r>
          </w:p>
        </w:tc>
        <w:tc>
          <w:tcPr>
            <w:tcW w:type="dxa" w:w="23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190"/>
                <w:szCs w:val="190"/>
              </w:rPr>
              <w:t xml:space="preserve">Performance — Taxonomie UE</w:t>
            </w:r>
          </w:p>
        </w:tc>
      </w:tr>
      <w:tr>
        <w:tc>
          <w:tcPr>
            <w:tcW w:type="dxa" w:w="19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F3C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8960C"/>
                <w:sz w:val="200"/>
                <w:szCs w:val="200"/>
              </w:rPr>
              <w:t xml:space="preserve">GWP Excellence</w:t>
            </w:r>
          </w:p>
        </w:tc>
        <w:tc>
          <w:tcPr>
            <w:tcW w:type="dxa" w:w="22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00"/>
                <w:szCs w:val="200"/>
              </w:rPr>
              <w:t xml:space="preserve">E. Vincent + S. Wissem</w:t>
            </w:r>
          </w:p>
        </w:tc>
        <w:tc>
          <w:tcPr>
            <w:tcW w:type="dxa" w:w="26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0"/>
                <w:szCs w:val="200"/>
              </w:rPr>
              <w:t xml:space="preserve">Dir. Stratégie + Dir. Exploitation</w:t>
            </w:r>
          </w:p>
        </w:tc>
        <w:tc>
          <w:tcPr>
            <w:tcW w:type="dxa" w:w="23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190"/>
                <w:szCs w:val="190"/>
              </w:rPr>
              <w:t xml:space="preserve">Référence — Fit for 55 · RED III</w:t>
            </w:r>
          </w:p>
        </w:tc>
      </w:tr>
      <w:tr>
        <w:tc>
          <w:tcPr>
            <w:tcW w:type="dxa" w:w="19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EEEEEE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555555"/>
                <w:sz w:val="200"/>
                <w:szCs w:val="200"/>
              </w:rPr>
              <w:t xml:space="preserve">GWP Platine</w:t>
            </w:r>
          </w:p>
        </w:tc>
        <w:tc>
          <w:tcPr>
            <w:tcW w:type="dxa" w:w="22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00"/>
                <w:szCs w:val="200"/>
              </w:rPr>
              <w:t xml:space="preserve">Vincent · Wissem · El Banide</w:t>
            </w:r>
          </w:p>
        </w:tc>
        <w:tc>
          <w:tcPr>
            <w:tcW w:type="dxa" w:w="26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0"/>
                <w:szCs w:val="200"/>
              </w:rPr>
              <w:t xml:space="preserve">Stratégie + Exploitation + Risques</w:t>
            </w:r>
          </w:p>
        </w:tc>
        <w:tc>
          <w:tcPr>
            <w:tcW w:type="dxa" w:w="23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190"/>
                <w:szCs w:val="190"/>
              </w:rPr>
              <w:t xml:space="preserve">Leadership Net Zero 2050+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r>
        <w:br w:type="page"/>
      </w:r>
    </w:p>
    <w:p>
      <w:pPr>
        <w:pStyle w:val="Heading1"/>
        <w:pBdr>
          <w:bottom w:val="single" w:color="C8960C" w:sz="6"/>
        </w:pBdr>
        <w:spacing w:after="160" w:before="320"/>
      </w:pPr>
      <w:r>
        <w:rPr>
          <w:rFonts w:ascii="Arial" w:cs="Arial" w:eastAsia="Arial" w:hAnsi="Arial"/>
          <w:b/>
          <w:bCs/>
          <w:color w:val="0D4A2E"/>
          <w:sz w:val="320"/>
          <w:szCs w:val="320"/>
        </w:rPr>
        <w:t xml:space="preserve">3. 8 Bureaux Internationaux — 4 Continents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pPr>
        <w:spacing w:after="120" w:before="6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Green World Planet est présent sur 4 continents depuis 8 bureaux — pour accompagner chaque certifié dans sa langue et selon sa réglementation locale. Premier contact uniquement par email.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pPr>
        <w:pBdr>
          <w:left w:val="single" w:color="C8960C" w:sz="8"/>
        </w:pBdr>
        <w:spacing w:after="60" w:before="160"/>
      </w:pPr>
      <w:r>
        <w:rPr>
          <w:rFonts w:ascii="Arial" w:cs="Arial" w:eastAsia="Arial" w:hAnsi="Arial"/>
          <w:b/>
          <w:bCs/>
          <w:color w:val="0D4A2E"/>
          <w:sz w:val="240"/>
          <w:szCs w:val="240"/>
        </w:rPr>
        <w:t xml:space="preserve">  Paris — Siège GWP &amp; Ingénierie 3.0</w:t>
      </w:r>
    </w:p>
    <w:p>
      <w:pPr>
        <w:spacing w:after="40" w:before="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14 rue de Rivoli, 75004 Paris</w:t>
      </w:r>
    </w:p>
    <w:p>
      <w:pPr>
        <w:spacing w:after="40" w:before="0"/>
      </w:pPr>
      <w:r>
        <w:rPr>
          <w:rFonts w:ascii="Arial" w:cs="Arial" w:eastAsia="Arial" w:hAnsi="Arial"/>
          <w:color w:val="0D4A2E"/>
          <w:sz w:val="220"/>
          <w:szCs w:val="220"/>
        </w:rPr>
        <w:t xml:space="preserve">gwtmarielefebvre@green-world-planet.com</w:t>
      </w:r>
    </w:p>
    <w:p>
      <w:pPr>
        <w:spacing w:after="80" w:before="0"/>
      </w:pPr>
      <w:r>
        <w:rPr>
          <w:rFonts w:ascii="Arial" w:cs="Arial" w:eastAsia="Arial" w:hAnsi="Arial"/>
          <w:i/>
          <w:iCs/>
          <w:color w:val="555555"/>
          <w:sz w:val="200"/>
          <w:szCs w:val="200"/>
        </w:rPr>
        <w:t xml:space="preserve">Réglementation : ADEME · RE2020 · CSRD · Fit for 55 — Tous niveaux</w:t>
      </w:r>
    </w:p>
    <w:p>
      <w:pPr>
        <w:pBdr>
          <w:left w:val="single" w:color="C8960C" w:sz="8"/>
        </w:pBdr>
        <w:spacing w:after="60" w:before="160"/>
      </w:pPr>
      <w:r>
        <w:rPr>
          <w:rFonts w:ascii="Arial" w:cs="Arial" w:eastAsia="Arial" w:hAnsi="Arial"/>
          <w:b/>
          <w:bCs/>
          <w:color w:val="0D4A2E"/>
          <w:sz w:val="240"/>
          <w:szCs w:val="240"/>
        </w:rPr>
        <w:t xml:space="preserve">  Bruxelles — Bureau UE &amp; Taxonomie Verte</w:t>
      </w:r>
    </w:p>
    <w:p>
      <w:pPr>
        <w:spacing w:after="40" w:before="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Avenue Louise 149, 1050 Bruxelles</w:t>
      </w:r>
    </w:p>
    <w:p>
      <w:pPr>
        <w:spacing w:after="40" w:before="0"/>
      </w:pPr>
      <w:r>
        <w:rPr>
          <w:rFonts w:ascii="Arial" w:cs="Arial" w:eastAsia="Arial" w:hAnsi="Arial"/>
          <w:color w:val="0D4A2E"/>
          <w:sz w:val="220"/>
          <w:szCs w:val="220"/>
        </w:rPr>
        <w:t xml:space="preserve">gwtemanuelfitche@green-world-planet.com</w:t>
      </w:r>
    </w:p>
    <w:p>
      <w:pPr>
        <w:spacing w:after="80" w:before="0"/>
      </w:pPr>
      <w:r>
        <w:rPr>
          <w:rFonts w:ascii="Arial" w:cs="Arial" w:eastAsia="Arial" w:hAnsi="Arial"/>
          <w:i/>
          <w:iCs/>
          <w:color w:val="555555"/>
          <w:sz w:val="200"/>
          <w:szCs w:val="200"/>
        </w:rPr>
        <w:t xml:space="preserve">Réglementation : Taxonomie Verte UE · Fit for 55 · RED III · CSRD</w:t>
      </w:r>
    </w:p>
    <w:p>
      <w:pPr>
        <w:pBdr>
          <w:left w:val="single" w:color="C8960C" w:sz="8"/>
        </w:pBdr>
        <w:spacing w:after="60" w:before="160"/>
      </w:pPr>
      <w:r>
        <w:rPr>
          <w:rFonts w:ascii="Arial" w:cs="Arial" w:eastAsia="Arial" w:hAnsi="Arial"/>
          <w:b/>
          <w:bCs/>
          <w:color w:val="0D4A2E"/>
          <w:sz w:val="240"/>
          <w:szCs w:val="240"/>
        </w:rPr>
        <w:t xml:space="preserve">  Londres — Bureau UK &amp; Finance Verte</w:t>
      </w:r>
    </w:p>
    <w:p>
      <w:pPr>
        <w:spacing w:after="40" w:before="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1 Canada Square, Canary Wharf E14 5AB</w:t>
      </w:r>
    </w:p>
    <w:p>
      <w:pPr>
        <w:spacing w:after="40" w:before="0"/>
      </w:pPr>
      <w:r>
        <w:rPr>
          <w:rFonts w:ascii="Arial" w:cs="Arial" w:eastAsia="Arial" w:hAnsi="Arial"/>
          <w:color w:val="0D4A2E"/>
          <w:sz w:val="220"/>
          <w:szCs w:val="220"/>
        </w:rPr>
        <w:t xml:space="preserve">gwtemanuelfitche@green-world-planet.com</w:t>
      </w:r>
    </w:p>
    <w:p>
      <w:pPr>
        <w:spacing w:after="80" w:before="0"/>
      </w:pPr>
      <w:r>
        <w:rPr>
          <w:rFonts w:ascii="Arial" w:cs="Arial" w:eastAsia="Arial" w:hAnsi="Arial"/>
          <w:i/>
          <w:iCs/>
          <w:color w:val="555555"/>
          <w:sz w:val="200"/>
          <w:szCs w:val="200"/>
        </w:rPr>
        <w:t xml:space="preserve">Réglementation : Green bonds · BSI · UK Net Zero Strategy</w:t>
      </w:r>
    </w:p>
    <w:p>
      <w:pPr>
        <w:pBdr>
          <w:left w:val="single" w:color="C8960C" w:sz="8"/>
        </w:pBdr>
        <w:spacing w:after="60" w:before="160"/>
      </w:pPr>
      <w:r>
        <w:rPr>
          <w:rFonts w:ascii="Arial" w:cs="Arial" w:eastAsia="Arial" w:hAnsi="Arial"/>
          <w:b/>
          <w:bCs/>
          <w:color w:val="0D4A2E"/>
          <w:sz w:val="240"/>
          <w:szCs w:val="240"/>
        </w:rPr>
        <w:t xml:space="preserve">  Berlin — Bureau Allemagne &amp; DACH</w:t>
      </w:r>
    </w:p>
    <w:p>
      <w:pPr>
        <w:spacing w:after="40" w:before="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Unter den Linden 21, 10117 Berlin</w:t>
      </w:r>
    </w:p>
    <w:p>
      <w:pPr>
        <w:spacing w:after="40" w:before="0"/>
      </w:pPr>
      <w:r>
        <w:rPr>
          <w:rFonts w:ascii="Arial" w:cs="Arial" w:eastAsia="Arial" w:hAnsi="Arial"/>
          <w:color w:val="0D4A2E"/>
          <w:sz w:val="220"/>
          <w:szCs w:val="220"/>
        </w:rPr>
        <w:t xml:space="preserve">gwtemanuelfitche@green-world-planet.com</w:t>
      </w:r>
    </w:p>
    <w:p>
      <w:pPr>
        <w:spacing w:after="80" w:before="0"/>
      </w:pPr>
      <w:r>
        <w:rPr>
          <w:rFonts w:ascii="Arial" w:cs="Arial" w:eastAsia="Arial" w:hAnsi="Arial"/>
          <w:i/>
          <w:iCs/>
          <w:color w:val="555555"/>
          <w:sz w:val="200"/>
          <w:szCs w:val="200"/>
        </w:rPr>
        <w:t xml:space="preserve">Réglementation : Energiewende · DIN · Klimaschutzgesetz</w:t>
      </w:r>
    </w:p>
    <w:p>
      <w:pPr>
        <w:pBdr>
          <w:left w:val="single" w:color="C8960C" w:sz="8"/>
        </w:pBdr>
        <w:spacing w:after="60" w:before="160"/>
      </w:pPr>
      <w:r>
        <w:rPr>
          <w:rFonts w:ascii="Arial" w:cs="Arial" w:eastAsia="Arial" w:hAnsi="Arial"/>
          <w:b/>
          <w:bCs/>
          <w:color w:val="0D4A2E"/>
          <w:sz w:val="240"/>
          <w:szCs w:val="240"/>
        </w:rPr>
        <w:t xml:space="preserve">  Alger — Bureau Afrique du Nord &amp; Maghreb</w:t>
      </w:r>
    </w:p>
    <w:p>
      <w:pPr>
        <w:spacing w:after="40" w:before="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16 rue Didouche Mourad, Alger</w:t>
      </w:r>
    </w:p>
    <w:p>
      <w:pPr>
        <w:spacing w:after="40" w:before="0"/>
      </w:pPr>
      <w:r>
        <w:rPr>
          <w:rFonts w:ascii="Arial" w:cs="Arial" w:eastAsia="Arial" w:hAnsi="Arial"/>
          <w:color w:val="0D4A2E"/>
          <w:sz w:val="220"/>
          <w:szCs w:val="220"/>
        </w:rPr>
        <w:t xml:space="preserve">gwtcherifbouzaroura@green-world-planet.com</w:t>
      </w:r>
    </w:p>
    <w:p>
      <w:pPr>
        <w:spacing w:after="80" w:before="0"/>
      </w:pPr>
      <w:r>
        <w:rPr>
          <w:rFonts w:ascii="Arial" w:cs="Arial" w:eastAsia="Arial" w:hAnsi="Arial"/>
          <w:i/>
          <w:iCs/>
          <w:color w:val="555555"/>
          <w:sz w:val="200"/>
          <w:szCs w:val="200"/>
        </w:rPr>
        <w:t xml:space="preserve">Réglementation : Sonelgaz · CREG · Plan ENR Algérie · ONEE Maroc</w:t>
      </w:r>
    </w:p>
    <w:p>
      <w:pPr>
        <w:pBdr>
          <w:left w:val="single" w:color="C8960C" w:sz="8"/>
        </w:pBdr>
        <w:spacing w:after="60" w:before="160"/>
      </w:pPr>
      <w:r>
        <w:rPr>
          <w:rFonts w:ascii="Arial" w:cs="Arial" w:eastAsia="Arial" w:hAnsi="Arial"/>
          <w:b/>
          <w:bCs/>
          <w:color w:val="0D4A2E"/>
          <w:sz w:val="240"/>
          <w:szCs w:val="240"/>
        </w:rPr>
        <w:t xml:space="preserve">  Riyad — Bureau Moyen-Orient &amp; GCC</w:t>
      </w:r>
    </w:p>
    <w:p>
      <w:pPr>
        <w:spacing w:after="40" w:before="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King Fahd Road, Al Olaya, Riyad 12211</w:t>
      </w:r>
    </w:p>
    <w:p>
      <w:pPr>
        <w:spacing w:after="40" w:before="0"/>
      </w:pPr>
      <w:r>
        <w:rPr>
          <w:rFonts w:ascii="Arial" w:cs="Arial" w:eastAsia="Arial" w:hAnsi="Arial"/>
          <w:color w:val="0D4A2E"/>
          <w:sz w:val="220"/>
          <w:szCs w:val="220"/>
        </w:rPr>
        <w:t xml:space="preserve">gwtericvincent@green-world-planet.com</w:t>
      </w:r>
    </w:p>
    <w:p>
      <w:pPr>
        <w:spacing w:after="80" w:before="0"/>
      </w:pPr>
      <w:r>
        <w:rPr>
          <w:rFonts w:ascii="Arial" w:cs="Arial" w:eastAsia="Arial" w:hAnsi="Arial"/>
          <w:i/>
          <w:iCs/>
          <w:color w:val="555555"/>
          <w:sz w:val="200"/>
          <w:szCs w:val="200"/>
        </w:rPr>
        <w:t xml:space="preserve">Réglementation : Vision 2030 · Aramco Solar · ACWA · Masdar · DEWA</w:t>
      </w:r>
    </w:p>
    <w:p>
      <w:pPr>
        <w:pBdr>
          <w:left w:val="single" w:color="C8960C" w:sz="8"/>
        </w:pBdr>
        <w:spacing w:after="60" w:before="160"/>
      </w:pPr>
      <w:r>
        <w:rPr>
          <w:rFonts w:ascii="Arial" w:cs="Arial" w:eastAsia="Arial" w:hAnsi="Arial"/>
          <w:b/>
          <w:bCs/>
          <w:color w:val="0D4A2E"/>
          <w:sz w:val="240"/>
          <w:szCs w:val="240"/>
        </w:rPr>
        <w:t xml:space="preserve">  Shanghai — Bureau Asie-Pacifique</w:t>
      </w:r>
    </w:p>
    <w:p>
      <w:pPr>
        <w:spacing w:after="40" w:before="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88 Century Avenue, Pudong, Shanghai 200120</w:t>
      </w:r>
    </w:p>
    <w:p>
      <w:pPr>
        <w:spacing w:after="40" w:before="0"/>
      </w:pPr>
      <w:r>
        <w:rPr>
          <w:rFonts w:ascii="Arial" w:cs="Arial" w:eastAsia="Arial" w:hAnsi="Arial"/>
          <w:color w:val="0D4A2E"/>
          <w:sz w:val="220"/>
          <w:szCs w:val="220"/>
        </w:rPr>
        <w:t xml:space="preserve">gwtericvincent@green-world-planet.com</w:t>
      </w:r>
    </w:p>
    <w:p>
      <w:pPr>
        <w:spacing w:after="80" w:before="0"/>
      </w:pPr>
      <w:r>
        <w:rPr>
          <w:rFonts w:ascii="Arial" w:cs="Arial" w:eastAsia="Arial" w:hAnsi="Arial"/>
          <w:i/>
          <w:iCs/>
          <w:color w:val="555555"/>
          <w:sz w:val="200"/>
          <w:szCs w:val="200"/>
        </w:rPr>
        <w:t xml:space="preserve">Réglementation : China Carbon Market · NTPC India · PLN Indonesia</w:t>
      </w:r>
    </w:p>
    <w:p>
      <w:pPr>
        <w:pBdr>
          <w:left w:val="single" w:color="C8960C" w:sz="8"/>
        </w:pBdr>
        <w:spacing w:after="60" w:before="160"/>
      </w:pPr>
      <w:r>
        <w:rPr>
          <w:rFonts w:ascii="Arial" w:cs="Arial" w:eastAsia="Arial" w:hAnsi="Arial"/>
          <w:b/>
          <w:bCs/>
          <w:color w:val="0D4A2E"/>
          <w:sz w:val="240"/>
          <w:szCs w:val="240"/>
        </w:rPr>
        <w:t xml:space="preserve">  Moscou — Bureau Russie &amp; CEI</w:t>
      </w:r>
    </w:p>
    <w:p>
      <w:pPr>
        <w:spacing w:after="40" w:before="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Tverskaya ul. 9, 125009 Moscou</w:t>
      </w:r>
    </w:p>
    <w:p>
      <w:pPr>
        <w:spacing w:after="40" w:before="0"/>
      </w:pPr>
      <w:r>
        <w:rPr>
          <w:rFonts w:ascii="Arial" w:cs="Arial" w:eastAsia="Arial" w:hAnsi="Arial"/>
          <w:color w:val="0D4A2E"/>
          <w:sz w:val="220"/>
          <w:szCs w:val="220"/>
        </w:rPr>
        <w:t xml:space="preserve">gwtnadiaelbanide@green-world-planet.com</w:t>
      </w:r>
    </w:p>
    <w:p>
      <w:pPr>
        <w:spacing w:after="80" w:before="0"/>
      </w:pPr>
      <w:r>
        <w:rPr>
          <w:rFonts w:ascii="Arial" w:cs="Arial" w:eastAsia="Arial" w:hAnsi="Arial"/>
          <w:i/>
          <w:iCs/>
          <w:color w:val="555555"/>
          <w:sz w:val="200"/>
          <w:szCs w:val="200"/>
        </w:rPr>
        <w:t xml:space="preserve">Réglementation : GOST · Projets ENR Russie · Marchés CEI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r>
        <w:br w:type="page"/>
      </w:r>
    </w:p>
    <w:p>
      <w:pPr>
        <w:pStyle w:val="Heading1"/>
        <w:pBdr>
          <w:bottom w:val="single" w:color="C8960C" w:sz="6"/>
        </w:pBdr>
        <w:spacing w:after="160" w:before="320"/>
      </w:pPr>
      <w:r>
        <w:rPr>
          <w:rFonts w:ascii="Arial" w:cs="Arial" w:eastAsia="Arial" w:hAnsi="Arial"/>
          <w:b/>
          <w:bCs/>
          <w:color w:val="0D4A2E"/>
          <w:sz w:val="320"/>
          <w:szCs w:val="320"/>
        </w:rPr>
        <w:t xml:space="preserve">4. Alignement ADEME, Réglementation Européenne &amp; Innovations GES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pPr>
        <w:spacing w:after="120" w:before="6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La certification GWP v2.0 est construite sur les fondements méthodologiques de l'ADEME et alignée sur les réglementations européennes les plus exigeantes.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C8960C"/>
          <w:sz w:val="260"/>
          <w:szCs w:val="260"/>
        </w:rPr>
        <w:t xml:space="preserve">4.1 Référentiel ADEME — Méthode Bilan Carbone® et BEGES</w:t>
      </w:r>
    </w:p>
    <w:p>
      <w:pPr>
        <w:spacing w:after="120" w:before="6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Conformément à l'article L.229-25 du code de l'environnement et au décret BEGES du 1er juillet 2022 (conformité ISO 14064-1).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626"/>
      </w:tblGrid>
      <w:tr>
        <w:tc>
          <w:tcPr>
            <w:tcW w:type="dxa" w:w="24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D4EDD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D4A2E"/>
                <w:sz w:val="200"/>
                <w:szCs w:val="200"/>
              </w:rPr>
              <w:t xml:space="preserve">Périmètre ADEME</w:t>
            </w:r>
          </w:p>
        </w:tc>
        <w:tc>
          <w:tcPr>
            <w:tcW w:type="dxa" w:w="66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D4EDD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D4A2E"/>
                <w:sz w:val="200"/>
                <w:szCs w:val="200"/>
              </w:rPr>
              <w:t xml:space="preserve">Intégration dans le référentiel GWP</w:t>
            </w:r>
          </w:p>
        </w:tc>
      </w:tr>
      <w:tr>
        <w:tc>
          <w:tcPr>
            <w:tcW w:type="dxa" w:w="24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D4A2E"/>
                <w:sz w:val="200"/>
                <w:szCs w:val="200"/>
              </w:rPr>
              <w:t xml:space="preserve">Scope 1 — Émissions directes</w:t>
            </w:r>
          </w:p>
        </w:tc>
        <w:tc>
          <w:tcPr>
            <w:tcW w:type="dxa" w:w="66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00"/>
                <w:szCs w:val="200"/>
              </w:rPr>
              <w:t xml:space="preserve">Combustion fossile sur site, procédés industriels, émissions fugitives. OBLIGATOIRE dès GWP Essentiel.</w:t>
            </w:r>
          </w:p>
        </w:tc>
      </w:tr>
      <w:tr>
        <w:tc>
          <w:tcPr>
            <w:tcW w:type="dxa" w:w="24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D4A2E"/>
                <w:sz w:val="200"/>
                <w:szCs w:val="200"/>
              </w:rPr>
              <w:t xml:space="preserve">Scope 2 — Indirectes énergie</w:t>
            </w:r>
          </w:p>
        </w:tc>
        <w:tc>
          <w:tcPr>
            <w:tcW w:type="dxa" w:w="66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00"/>
                <w:szCs w:val="200"/>
              </w:rPr>
              <w:t xml:space="preserve">Électricité, chaleur, vapeur achetées. Base Carbone® ADEME. OBLIGATOIRE dès GWP Essentiel.</w:t>
            </w:r>
          </w:p>
        </w:tc>
      </w:tr>
      <w:tr>
        <w:tc>
          <w:tcPr>
            <w:tcW w:type="dxa" w:w="24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D4A2E"/>
                <w:sz w:val="200"/>
                <w:szCs w:val="200"/>
              </w:rPr>
              <w:t xml:space="preserve">Scope 3 — Indirectes complètes</w:t>
            </w:r>
          </w:p>
        </w:tc>
        <w:tc>
          <w:tcPr>
            <w:tcW w:type="dxa" w:w="66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00"/>
                <w:szCs w:val="200"/>
              </w:rPr>
              <w:t xml:space="preserve">Chaîne logistique, déplacements, déchets. Obligatoire depuis jan. 2023. REQUIS dès GWP Avancé.</w:t>
            </w:r>
          </w:p>
        </w:tc>
      </w:tr>
      <w:tr>
        <w:tc>
          <w:tcPr>
            <w:tcW w:type="dxa" w:w="24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D4A2E"/>
                <w:sz w:val="200"/>
                <w:szCs w:val="200"/>
              </w:rPr>
              <w:t xml:space="preserve">BEGES + Plan de transition</w:t>
            </w:r>
          </w:p>
        </w:tc>
        <w:tc>
          <w:tcPr>
            <w:tcW w:type="dxa" w:w="66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00"/>
                <w:szCs w:val="200"/>
              </w:rPr>
              <w:t xml:space="preserve">Publication bilans-ges.ademe.fr. Sanctions 50 000 € (Loi Industrie Verte 2023).</w:t>
            </w:r>
          </w:p>
        </w:tc>
      </w:tr>
      <w:tr>
        <w:tc>
          <w:tcPr>
            <w:tcW w:type="dxa" w:w="24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D4A2E"/>
                <w:sz w:val="200"/>
                <w:szCs w:val="200"/>
              </w:rPr>
              <w:t xml:space="preserve">ACV — Analyse de Cycle de Vie</w:t>
            </w:r>
          </w:p>
        </w:tc>
        <w:tc>
          <w:tcPr>
            <w:tcW w:type="dxa" w:w="66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00"/>
                <w:szCs w:val="200"/>
              </w:rPr>
              <w:t xml:space="preserve">Méthodologie ADEME Base Impacts®. Requis dès GWP Avancé.</w:t>
            </w:r>
          </w:p>
        </w:tc>
      </w:tr>
      <w:tr>
        <w:tc>
          <w:tcPr>
            <w:tcW w:type="dxa" w:w="24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D4A2E"/>
                <w:sz w:val="200"/>
                <w:szCs w:val="200"/>
              </w:rPr>
              <w:t xml:space="preserve">ISO 14064-1</w:t>
            </w:r>
          </w:p>
        </w:tc>
        <w:tc>
          <w:tcPr>
            <w:tcW w:type="dxa" w:w="66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00"/>
                <w:szCs w:val="200"/>
              </w:rPr>
              <w:t xml:space="preserve">Norme sur laquelle repose la Méthode Bilan Carbone® ADEME.</w:t>
            </w:r>
          </w:p>
        </w:tc>
      </w:tr>
      <w:tr>
        <w:tc>
          <w:tcPr>
            <w:tcW w:type="dxa" w:w="24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D4A2E"/>
                <w:sz w:val="200"/>
                <w:szCs w:val="200"/>
              </w:rPr>
              <w:t xml:space="preserve">CSRD (depuis jan. 2024)</w:t>
            </w:r>
          </w:p>
        </w:tc>
        <w:tc>
          <w:tcPr>
            <w:tcW w:type="dxa" w:w="66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00"/>
                <w:szCs w:val="200"/>
              </w:rPr>
              <w:t xml:space="preserve">Reporting S1+2+3 obligatoire pour entreprises &gt; 1 000 salariés. GWP structure ce reporting.</w:t>
            </w:r>
          </w:p>
        </w:tc>
      </w:tr>
      <w:tr>
        <w:tc>
          <w:tcPr>
            <w:tcW w:type="dxa" w:w="24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D4A2E"/>
                <w:sz w:val="200"/>
                <w:szCs w:val="200"/>
              </w:rPr>
              <w:t xml:space="preserve">Diag Décarbon'Action</w:t>
            </w:r>
          </w:p>
        </w:tc>
        <w:tc>
          <w:tcPr>
            <w:tcW w:type="dxa" w:w="66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00"/>
                <w:szCs w:val="200"/>
              </w:rPr>
              <w:t xml:space="preserve">Subvention ADEME/Bpifrance 4 000 à 6 000 €. Candidats GWP éligibles en priorité.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C8960C"/>
          <w:sz w:val="260"/>
          <w:szCs w:val="260"/>
        </w:rPr>
        <w:t xml:space="preserve">4.2 Réglementations Européennes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00"/>
        <w:gridCol w:w="2200"/>
        <w:gridCol w:w="4726"/>
      </w:tblGrid>
      <w:tr>
        <w:tc>
          <w:tcPr>
            <w:tcW w:type="dxa" w:w="21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F3C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8960C"/>
                <w:sz w:val="200"/>
                <w:szCs w:val="200"/>
              </w:rPr>
              <w:t xml:space="preserve">Réglementation UE</w:t>
            </w:r>
          </w:p>
        </w:tc>
        <w:tc>
          <w:tcPr>
            <w:tcW w:type="dxa" w:w="22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F3C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8960C"/>
                <w:sz w:val="200"/>
                <w:szCs w:val="200"/>
              </w:rPr>
              <w:t xml:space="preserve">Critère GES clé</w:t>
            </w:r>
          </w:p>
        </w:tc>
        <w:tc>
          <w:tcPr>
            <w:tcW w:type="dxa" w:w="47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F3C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8960C"/>
                <w:sz w:val="200"/>
                <w:szCs w:val="200"/>
              </w:rPr>
              <w:t xml:space="preserve">Correspondance GWP</w:t>
            </w:r>
          </w:p>
        </w:tc>
      </w:tr>
      <w:tr>
        <w:tc>
          <w:tcPr>
            <w:tcW w:type="dxa" w:w="21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200"/>
                <w:szCs w:val="200"/>
              </w:rPr>
              <w:t xml:space="preserve">Fit for 55 (2030)</w:t>
            </w:r>
          </w:p>
        </w:tc>
        <w:tc>
          <w:tcPr>
            <w:tcW w:type="dxa" w:w="22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8960C"/>
                <w:sz w:val="200"/>
                <w:szCs w:val="200"/>
              </w:rPr>
              <w:t xml:space="preserve">−55% GES vs 1990</w:t>
            </w:r>
          </w:p>
        </w:tc>
        <w:tc>
          <w:tcPr>
            <w:tcW w:type="dxa" w:w="47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0"/>
                <w:szCs w:val="200"/>
              </w:rPr>
              <w:t xml:space="preserve">GWP-Excellence : contribue directement. GWP-Avancé : −40%.</w:t>
            </w:r>
          </w:p>
        </w:tc>
      </w:tr>
      <w:tr>
        <w:tc>
          <w:tcPr>
            <w:tcW w:type="dxa" w:w="21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200"/>
                <w:szCs w:val="200"/>
              </w:rPr>
              <w:t xml:space="preserve">Taxonomie Verte UE (Règl. 2020/852)</w:t>
            </w:r>
          </w:p>
        </w:tc>
        <w:tc>
          <w:tcPr>
            <w:tcW w:type="dxa" w:w="22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8960C"/>
                <w:sz w:val="200"/>
                <w:szCs w:val="200"/>
              </w:rPr>
              <w:t xml:space="preserve">&lt; 100g CO2e/kWh</w:t>
            </w:r>
          </w:p>
        </w:tc>
        <w:tc>
          <w:tcPr>
            <w:tcW w:type="dxa" w:w="47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0"/>
                <w:szCs w:val="200"/>
              </w:rPr>
              <w:t xml:space="preserve">Standard dès GWP-PV Avancé. Projets I3.0 : moy. 22g CO2e/kWh.</w:t>
            </w:r>
          </w:p>
        </w:tc>
      </w:tr>
      <w:tr>
        <w:tc>
          <w:tcPr>
            <w:tcW w:type="dxa" w:w="21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200"/>
                <w:szCs w:val="200"/>
              </w:rPr>
              <w:t xml:space="preserve">RED III (jan. 2026+)</w:t>
            </w:r>
          </w:p>
        </w:tc>
        <w:tc>
          <w:tcPr>
            <w:tcW w:type="dxa" w:w="22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8960C"/>
                <w:sz w:val="200"/>
                <w:szCs w:val="200"/>
              </w:rPr>
              <w:t xml:space="preserve">−80% GES vs fossiles</w:t>
            </w:r>
          </w:p>
        </w:tc>
        <w:tc>
          <w:tcPr>
            <w:tcW w:type="dxa" w:w="47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0"/>
                <w:szCs w:val="200"/>
              </w:rPr>
              <w:t xml:space="preserve">GWP-PV Excellence standard. Remplace les −70% de RED II.</w:t>
            </w:r>
          </w:p>
        </w:tc>
      </w:tr>
      <w:tr>
        <w:tc>
          <w:tcPr>
            <w:tcW w:type="dxa" w:w="21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200"/>
                <w:szCs w:val="200"/>
              </w:rPr>
              <w:t xml:space="preserve">CSRD (jan. 2024)</w:t>
            </w:r>
          </w:p>
        </w:tc>
        <w:tc>
          <w:tcPr>
            <w:tcW w:type="dxa" w:w="22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8960C"/>
                <w:sz w:val="200"/>
                <w:szCs w:val="200"/>
              </w:rPr>
              <w:t xml:space="preserve">Reporting S1+2+3</w:t>
            </w:r>
          </w:p>
        </w:tc>
        <w:tc>
          <w:tcPr>
            <w:tcW w:type="dxa" w:w="47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0"/>
                <w:szCs w:val="200"/>
              </w:rPr>
              <w:t xml:space="preserve">GWP structure le reporting CSRD pour les certifiés.</w:t>
            </w:r>
          </w:p>
        </w:tc>
      </w:tr>
      <w:tr>
        <w:tc>
          <w:tcPr>
            <w:tcW w:type="dxa" w:w="21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200"/>
                <w:szCs w:val="200"/>
              </w:rPr>
              <w:t xml:space="preserve">RE2020 — Bâtiment</w:t>
            </w:r>
          </w:p>
        </w:tc>
        <w:tc>
          <w:tcPr>
            <w:tcW w:type="dxa" w:w="22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8960C"/>
                <w:sz w:val="200"/>
                <w:szCs w:val="200"/>
              </w:rPr>
              <w:t xml:space="preserve">&lt; 50 kgCO2eq/m2/an</w:t>
            </w:r>
          </w:p>
        </w:tc>
        <w:tc>
          <w:tcPr>
            <w:tcW w:type="dxa" w:w="47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0"/>
                <w:szCs w:val="200"/>
              </w:rPr>
              <w:t xml:space="preserve">GWP-BAT Avancé : conformité RE2020. Excellence : &gt; RE2020.</w:t>
            </w:r>
          </w:p>
        </w:tc>
      </w:tr>
      <w:tr>
        <w:tc>
          <w:tcPr>
            <w:tcW w:type="dxa" w:w="21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200"/>
                <w:szCs w:val="200"/>
              </w:rPr>
              <w:t xml:space="preserve">Net Zero Industry Act (2024)</w:t>
            </w:r>
          </w:p>
        </w:tc>
        <w:tc>
          <w:tcPr>
            <w:tcW w:type="dxa" w:w="22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8960C"/>
                <w:sz w:val="200"/>
                <w:szCs w:val="200"/>
              </w:rPr>
              <w:t xml:space="preserve">40% ENR UE en 2030</w:t>
            </w:r>
          </w:p>
        </w:tc>
        <w:tc>
          <w:tcPr>
            <w:tcW w:type="dxa" w:w="47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0"/>
                <w:szCs w:val="200"/>
              </w:rPr>
              <w:t xml:space="preserve">GWP-PV et GWP-TRANS contribuent directement.</w:t>
            </w:r>
          </w:p>
        </w:tc>
      </w:tr>
      <w:tr>
        <w:tc>
          <w:tcPr>
            <w:tcW w:type="dxa" w:w="21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200"/>
                <w:szCs w:val="200"/>
              </w:rPr>
              <w:t xml:space="preserve">Objectif UE Net Zero 2050</w:t>
            </w:r>
          </w:p>
        </w:tc>
        <w:tc>
          <w:tcPr>
            <w:tcW w:type="dxa" w:w="22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8960C"/>
                <w:sz w:val="200"/>
                <w:szCs w:val="200"/>
              </w:rPr>
              <w:t xml:space="preserve">Neutralité carbone totale</w:t>
            </w:r>
          </w:p>
        </w:tc>
        <w:tc>
          <w:tcPr>
            <w:tcW w:type="dxa" w:w="47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0"/>
                <w:szCs w:val="200"/>
              </w:rPr>
              <w:t xml:space="preserve">GWP Platine : carbone négatif net démontrable.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C8960C"/>
          <w:sz w:val="260"/>
          <w:szCs w:val="260"/>
        </w:rPr>
        <w:t xml:space="preserve">4.3 Tableau de correspondance GWP ↔ ADEME/Europe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1600"/>
        <w:gridCol w:w="2100"/>
        <w:gridCol w:w="2100"/>
        <w:gridCol w:w="1526"/>
      </w:tblGrid>
      <w:tr>
        <w:tc>
          <w:tcPr>
            <w:tcW w:type="dxa" w:w="17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0D4A2E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0"/>
                <w:szCs w:val="190"/>
              </w:rPr>
              <w:t xml:space="preserve">Niveau GWP</w:t>
            </w:r>
          </w:p>
        </w:tc>
        <w:tc>
          <w:tcPr>
            <w:tcW w:type="dxa" w:w="16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0D4A2E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0"/>
                <w:szCs w:val="190"/>
              </w:rPr>
              <w:t xml:space="preserve">Réduction GES</w:t>
            </w:r>
          </w:p>
        </w:tc>
        <w:tc>
          <w:tcPr>
            <w:tcW w:type="dxa" w:w="21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0D4A2E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0"/>
                <w:szCs w:val="190"/>
              </w:rPr>
              <w:t xml:space="preserve">Critères ADEME</w:t>
            </w:r>
          </w:p>
        </w:tc>
        <w:tc>
          <w:tcPr>
            <w:tcW w:type="dxa" w:w="21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0D4A2E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0"/>
                <w:szCs w:val="190"/>
              </w:rPr>
              <w:t xml:space="preserve">Critères UE</w:t>
            </w:r>
          </w:p>
        </w:tc>
        <w:tc>
          <w:tcPr>
            <w:tcW w:type="dxa" w:w="15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0D4A2E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0"/>
                <w:szCs w:val="190"/>
              </w:rPr>
              <w:t xml:space="preserve">Financement</w:t>
            </w:r>
          </w:p>
        </w:tc>
      </w:tr>
      <w:tr>
        <w:tc>
          <w:tcPr>
            <w:tcW w:type="dxa" w:w="17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D4EDD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2d6a2d"/>
                <w:sz w:val="190"/>
                <w:szCs w:val="190"/>
              </w:rPr>
              <w:t xml:space="preserve">GWP Essentiel</w:t>
            </w:r>
          </w:p>
        </w:tc>
        <w:tc>
          <w:tcPr>
            <w:tcW w:type="dxa" w:w="16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2E7D52"/>
                <w:sz w:val="190"/>
                <w:szCs w:val="190"/>
              </w:rPr>
              <w:t xml:space="preserve">&gt;= −20%</w:t>
            </w:r>
          </w:p>
        </w:tc>
        <w:tc>
          <w:tcPr>
            <w:tcW w:type="dxa" w:w="21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0"/>
                <w:szCs w:val="180"/>
              </w:rPr>
              <w:t xml:space="preserve">BEGES S1+2 — Plan transition</w:t>
            </w:r>
          </w:p>
        </w:tc>
        <w:tc>
          <w:tcPr>
            <w:tcW w:type="dxa" w:w="21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0"/>
                <w:szCs w:val="180"/>
              </w:rPr>
              <w:t xml:space="preserve">CSRD partielle</w:t>
            </w:r>
          </w:p>
        </w:tc>
        <w:tc>
          <w:tcPr>
            <w:tcW w:type="dxa" w:w="15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180"/>
                <w:szCs w:val="180"/>
              </w:rPr>
              <w:t xml:space="preserve">CEE — Aides ADEME</w:t>
            </w:r>
          </w:p>
        </w:tc>
      </w:tr>
      <w:tr>
        <w:tc>
          <w:tcPr>
            <w:tcW w:type="dxa" w:w="17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DCEEDE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D4A2E"/>
                <w:sz w:val="190"/>
                <w:szCs w:val="190"/>
              </w:rPr>
              <w:t xml:space="preserve">GWP Avancé</w:t>
            </w:r>
          </w:p>
        </w:tc>
        <w:tc>
          <w:tcPr>
            <w:tcW w:type="dxa" w:w="16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2E7D52"/>
                <w:sz w:val="190"/>
                <w:szCs w:val="190"/>
              </w:rPr>
              <w:t xml:space="preserve">&gt;= −40%</w:t>
            </w:r>
          </w:p>
        </w:tc>
        <w:tc>
          <w:tcPr>
            <w:tcW w:type="dxa" w:w="21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0"/>
                <w:szCs w:val="180"/>
              </w:rPr>
              <w:t xml:space="preserve">BEGES S1+2+3 — ACV ISO 14064</w:t>
            </w:r>
          </w:p>
        </w:tc>
        <w:tc>
          <w:tcPr>
            <w:tcW w:type="dxa" w:w="21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0"/>
                <w:szCs w:val="180"/>
              </w:rPr>
              <w:t xml:space="preserve">Taxonomie UE &lt;100g — CSRD</w:t>
            </w:r>
          </w:p>
        </w:tc>
        <w:tc>
          <w:tcPr>
            <w:tcW w:type="dxa" w:w="15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180"/>
                <w:szCs w:val="180"/>
              </w:rPr>
              <w:t xml:space="preserve">BEI — BAfD — IFC</w:t>
            </w:r>
          </w:p>
        </w:tc>
      </w:tr>
      <w:tr>
        <w:tc>
          <w:tcPr>
            <w:tcW w:type="dxa" w:w="17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F3C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8960C"/>
                <w:sz w:val="190"/>
                <w:szCs w:val="190"/>
              </w:rPr>
              <w:t xml:space="preserve">GWP Excellence</w:t>
            </w:r>
          </w:p>
        </w:tc>
        <w:tc>
          <w:tcPr>
            <w:tcW w:type="dxa" w:w="16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2E7D52"/>
                <w:sz w:val="190"/>
                <w:szCs w:val="190"/>
              </w:rPr>
              <w:t xml:space="preserve">&gt;= −60%</w:t>
            </w:r>
          </w:p>
        </w:tc>
        <w:tc>
          <w:tcPr>
            <w:tcW w:type="dxa" w:w="21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0"/>
                <w:szCs w:val="180"/>
              </w:rPr>
              <w:t xml:space="preserve">BEGES complet — Neutralité carbone</w:t>
            </w:r>
          </w:p>
        </w:tc>
        <w:tc>
          <w:tcPr>
            <w:tcW w:type="dxa" w:w="21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0"/>
                <w:szCs w:val="180"/>
              </w:rPr>
              <w:t xml:space="preserve">Fit for 55 — RED III −80%</w:t>
            </w:r>
          </w:p>
        </w:tc>
        <w:tc>
          <w:tcPr>
            <w:tcW w:type="dxa" w:w="15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180"/>
                <w:szCs w:val="180"/>
              </w:rPr>
              <w:t xml:space="preserve">Fonds verts UE — Green bonds</w:t>
            </w:r>
          </w:p>
        </w:tc>
      </w:tr>
      <w:tr>
        <w:tc>
          <w:tcPr>
            <w:tcW w:type="dxa" w:w="17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EEEEEE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555555"/>
                <w:sz w:val="190"/>
                <w:szCs w:val="190"/>
              </w:rPr>
              <w:t xml:space="preserve">GWP Platine</w:t>
            </w:r>
          </w:p>
        </w:tc>
        <w:tc>
          <w:tcPr>
            <w:tcW w:type="dxa" w:w="16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2E7D52"/>
                <w:sz w:val="190"/>
                <w:szCs w:val="190"/>
              </w:rPr>
              <w:t xml:space="preserve">Impact négatif</w:t>
            </w:r>
          </w:p>
        </w:tc>
        <w:tc>
          <w:tcPr>
            <w:tcW w:type="dxa" w:w="21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0"/>
                <w:szCs w:val="180"/>
              </w:rPr>
              <w:t xml:space="preserve">Carbone négatif — SDG — ISO 17021</w:t>
            </w:r>
          </w:p>
        </w:tc>
        <w:tc>
          <w:tcPr>
            <w:tcW w:type="dxa" w:w="21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0"/>
                <w:szCs w:val="180"/>
              </w:rPr>
              <w:t xml:space="preserve">Au-delà Fit for 55 — Net Zero 2050</w:t>
            </w:r>
          </w:p>
        </w:tc>
        <w:tc>
          <w:tcPr>
            <w:tcW w:type="dxa" w:w="15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180"/>
                <w:szCs w:val="180"/>
              </w:rPr>
              <w:t xml:space="preserve">InvestEU — Green Deal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C8960C"/>
          <w:sz w:val="260"/>
          <w:szCs w:val="260"/>
        </w:rPr>
        <w:t xml:space="preserve">4.4 Nos 6 Innovations GES — Ingénierie 3.0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pPr>
        <w:pBdr>
          <w:left w:val="single" w:color="0D4A2E" w:sz="10"/>
        </w:pBdr>
        <w:shd w:fill="D4EDDA" w:val="clear"/>
        <w:spacing w:after="80" w:before="160"/>
      </w:pPr>
      <w:r>
        <w:rPr>
          <w:rFonts w:ascii="Arial" w:cs="Arial" w:eastAsia="Arial" w:hAnsi="Arial"/>
          <w:b/>
          <w:bCs/>
          <w:color w:val="0D4A2E"/>
          <w:sz w:val="240"/>
          <w:szCs w:val="240"/>
        </w:rPr>
        <w:t xml:space="preserve">  01 — PV bifacial + trackers monoaxiaux</w:t>
      </w:r>
    </w:p>
    <w:p>
      <w:pPr>
        <w:spacing w:after="6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Gain +28% production vs panneaux fixes. Émissions : 22g CO2e/kWh (Taxonomie UE &lt; 100g). Déployé sur DEWA 900 MW, Noor 580 MW, Aramco Solar 350 MW.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i/>
          <w:iCs/>
          <w:color w:val="C8960C"/>
          <w:sz w:val="200"/>
          <w:szCs w:val="200"/>
        </w:rPr>
        <w:t xml:space="preserve">Alignement ADEME/UE : ADEME Scope 2 — Taxonomie UE &lt; 100g/kWh — RED III −80%</w:t>
      </w:r>
    </w:p>
    <w:p>
      <w:pPr>
        <w:pBdr>
          <w:left w:val="single" w:color="0D4A2E" w:sz="10"/>
        </w:pBdr>
        <w:shd w:fill="D4EDDA" w:val="clear"/>
        <w:spacing w:after="80" w:before="160"/>
      </w:pPr>
      <w:r>
        <w:rPr>
          <w:rFonts w:ascii="Arial" w:cs="Arial" w:eastAsia="Arial" w:hAnsi="Arial"/>
          <w:b/>
          <w:bCs/>
          <w:color w:val="0D4A2E"/>
          <w:sz w:val="240"/>
          <w:szCs w:val="240"/>
        </w:rPr>
        <w:t xml:space="preserve">  02 — Stockage BESS couplé aux fermes solaires</w:t>
      </w:r>
    </w:p>
    <w:p>
      <w:pPr>
        <w:spacing w:after="6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Réduction GES Scope 1 : −65% vs conventionnel. NTPC Rajasthan 100 MWh + 250 MW PV, PLN Sumatra 150 MW.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i/>
          <w:iCs/>
          <w:color w:val="C8960C"/>
          <w:sz w:val="200"/>
          <w:szCs w:val="200"/>
        </w:rPr>
        <w:t xml:space="preserve">Alignement ADEME/UE : ADEME Scope 1 &amp; 2 — Fit for 55 — Taxonomie Verte UE</w:t>
      </w:r>
    </w:p>
    <w:p>
      <w:pPr>
        <w:pBdr>
          <w:left w:val="single" w:color="0D4A2E" w:sz="10"/>
        </w:pBdr>
        <w:shd w:fill="D4EDDA" w:val="clear"/>
        <w:spacing w:after="80" w:before="160"/>
      </w:pPr>
      <w:r>
        <w:rPr>
          <w:rFonts w:ascii="Arial" w:cs="Arial" w:eastAsia="Arial" w:hAnsi="Arial"/>
          <w:b/>
          <w:bCs/>
          <w:color w:val="0D4A2E"/>
          <w:sz w:val="240"/>
          <w:szCs w:val="240"/>
        </w:rPr>
        <w:t xml:space="preserve">  03 — Béton bas-carbone et matériaux biosourcés</w:t>
      </w:r>
    </w:p>
    <w:p>
      <w:pPr>
        <w:spacing w:after="6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ACV ADEME Base Impacts®. −42% CO2 Scope 3 sur matériaux de structure. Tour Helix (La Défense), CHU Pellegrin (Bordeaux).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i/>
          <w:iCs/>
          <w:color w:val="C8960C"/>
          <w:sz w:val="200"/>
          <w:szCs w:val="200"/>
        </w:rPr>
        <w:t xml:space="preserve">Alignement ADEME/UE : ADEME Scope 3 — ACV Base Impacts® — RE2020 — CSRD 2024</w:t>
      </w:r>
    </w:p>
    <w:p>
      <w:pPr>
        <w:pBdr>
          <w:left w:val="single" w:color="0D4A2E" w:sz="10"/>
        </w:pBdr>
        <w:shd w:fill="D4EDDA" w:val="clear"/>
        <w:spacing w:after="80" w:before="160"/>
      </w:pPr>
      <w:r>
        <w:rPr>
          <w:rFonts w:ascii="Arial" w:cs="Arial" w:eastAsia="Arial" w:hAnsi="Arial"/>
          <w:b/>
          <w:bCs/>
          <w:color w:val="0D4A2E"/>
          <w:sz w:val="240"/>
          <w:szCs w:val="240"/>
        </w:rPr>
        <w:t xml:space="preserve">  04 — Agrivoltaïsme — double usage des terres</w:t>
      </w:r>
    </w:p>
    <w:p>
      <w:pPr>
        <w:spacing w:after="6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Production solaire + activité agricole. Réduit les GES Scope 3 liés aux sols. Mali, Sénégal, Kenya.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i/>
          <w:iCs/>
          <w:color w:val="C8960C"/>
          <w:sz w:val="200"/>
          <w:szCs w:val="200"/>
        </w:rPr>
        <w:t xml:space="preserve">Alignement ADEME/UE : ADEME Scope 3 — Biodiversité — ODD 2 &amp; 15</w:t>
      </w:r>
    </w:p>
    <w:p>
      <w:pPr>
        <w:pBdr>
          <w:left w:val="single" w:color="0D4A2E" w:sz="10"/>
        </w:pBdr>
        <w:shd w:fill="D4EDDA" w:val="clear"/>
        <w:spacing w:after="80" w:before="160"/>
      </w:pPr>
      <w:r>
        <w:rPr>
          <w:rFonts w:ascii="Arial" w:cs="Arial" w:eastAsia="Arial" w:hAnsi="Arial"/>
          <w:b/>
          <w:bCs/>
          <w:color w:val="0D4A2E"/>
          <w:sz w:val="240"/>
          <w:szCs w:val="240"/>
        </w:rPr>
        <w:t xml:space="preserve">  05 — Hydrogène vert par électrolyse solaire</w:t>
      </w:r>
    </w:p>
    <w:p>
      <w:pPr>
        <w:spacing w:after="6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&lt; 1 kgCO2/kgH2 (−90% vs H2 gris). Critère Taxonomie UE H2 &lt; 3 kgCO2/kgH2 dépassé. Aramco Ras Tanura.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i/>
          <w:iCs/>
          <w:color w:val="C8960C"/>
          <w:sz w:val="200"/>
          <w:szCs w:val="200"/>
        </w:rPr>
        <w:t xml:space="preserve">Alignement ADEME/UE : Taxonomie UE H2 — Fit for 55 — RED III — GWP-TRANS Platine</w:t>
      </w:r>
    </w:p>
    <w:p>
      <w:pPr>
        <w:pBdr>
          <w:left w:val="single" w:color="0D4A2E" w:sz="10"/>
        </w:pBdr>
        <w:shd w:fill="D4EDDA" w:val="clear"/>
        <w:spacing w:after="80" w:before="160"/>
      </w:pPr>
      <w:r>
        <w:rPr>
          <w:rFonts w:ascii="Arial" w:cs="Arial" w:eastAsia="Arial" w:hAnsi="Arial"/>
          <w:b/>
          <w:bCs/>
          <w:color w:val="0D4A2E"/>
          <w:sz w:val="240"/>
          <w:szCs w:val="240"/>
        </w:rPr>
        <w:t xml:space="preserve">  06 — Jumeau numérique pour monitoring GES temps réel</w:t>
      </w:r>
    </w:p>
    <w:p>
      <w:pPr>
        <w:spacing w:after="6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Reporting automatisé BEGES/ADEME et CSRD conforme. Alerte sur dérive de performance. Ras Tanura et DEWA.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i/>
          <w:iCs/>
          <w:color w:val="C8960C"/>
          <w:sz w:val="200"/>
          <w:szCs w:val="200"/>
        </w:rPr>
        <w:t xml:space="preserve">Alignement ADEME/UE : ADEME BEGES — CSRD 2024 — ISO 14064-1 — GWP Excellence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r>
        <w:br w:type="page"/>
      </w:r>
    </w:p>
    <w:p>
      <w:pPr>
        <w:pStyle w:val="Heading1"/>
        <w:pBdr>
          <w:bottom w:val="single" w:color="C8960C" w:sz="6"/>
        </w:pBdr>
        <w:spacing w:after="160" w:before="320"/>
      </w:pPr>
      <w:r>
        <w:rPr>
          <w:rFonts w:ascii="Arial" w:cs="Arial" w:eastAsia="Arial" w:hAnsi="Arial"/>
          <w:b/>
          <w:bCs/>
          <w:color w:val="0D4A2E"/>
          <w:sz w:val="320"/>
          <w:szCs w:val="320"/>
        </w:rPr>
        <w:t xml:space="preserve">5. Les 5 Domaines de Certification GWP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pPr>
        <w:spacing w:after="120" w:before="6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Chaque domaine couvre un secteur spécifique de l'ingénierie verte. Un acteur peut être certifié dans un ou plusieurs domaines simultanément sur les 4 continents.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2000"/>
        <w:gridCol w:w="4426"/>
        <w:gridCol w:w="1800"/>
      </w:tblGrid>
      <w:tr>
        <w:tc>
          <w:tcPr>
            <w:tcW w:type="dxa" w:w="8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0D4A2E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0"/>
                <w:szCs w:val="200"/>
              </w:rPr>
              <w:t xml:space="preserve">Code</w:t>
            </w:r>
          </w:p>
        </w:tc>
        <w:tc>
          <w:tcPr>
            <w:tcW w:type="dxa" w:w="20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0D4A2E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0"/>
                <w:szCs w:val="200"/>
              </w:rPr>
              <w:t xml:space="preserve">Domaine</w:t>
            </w:r>
          </w:p>
        </w:tc>
        <w:tc>
          <w:tcPr>
            <w:tcW w:type="dxa" w:w="44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0D4A2E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0"/>
                <w:szCs w:val="200"/>
              </w:rPr>
              <w:t xml:space="preserve">Description &amp; Alignement</w:t>
            </w:r>
          </w:p>
        </w:tc>
        <w:tc>
          <w:tcPr>
            <w:tcW w:type="dxa" w:w="18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0D4A2E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0"/>
                <w:szCs w:val="200"/>
              </w:rPr>
              <w:t xml:space="preserve">Niveaux</w:t>
            </w:r>
          </w:p>
        </w:tc>
      </w:tr>
      <w:tr>
        <w:tc>
          <w:tcPr>
            <w:tcW w:type="dxa" w:w="8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D4A2E"/>
                <w:sz w:val="200"/>
                <w:szCs w:val="200"/>
              </w:rPr>
              <w:t xml:space="preserve">GWP-PV</w:t>
            </w:r>
          </w:p>
        </w:tc>
        <w:tc>
          <w:tcPr>
            <w:tcW w:type="dxa" w:w="20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200"/>
                <w:szCs w:val="200"/>
              </w:rPr>
              <w:t xml:space="preserve">Projets Photovoltaïques</w:t>
            </w:r>
          </w:p>
        </w:tc>
        <w:tc>
          <w:tcPr>
            <w:tcW w:type="dxa" w:w="44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00"/>
                <w:szCs w:val="200"/>
              </w:rPr>
              <w:t xml:space="preserve">Parcs solaires 1 MW à 1 GW+. Taxonomie UE &lt; 100g CO2e/kWh, RED III −80%.</w:t>
            </w:r>
          </w:p>
        </w:tc>
        <w:tc>
          <w:tcPr>
            <w:tcW w:type="dxa" w:w="18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180"/>
                <w:szCs w:val="180"/>
              </w:rPr>
              <w:t xml:space="preserve">Essentiel — Avancé — Excellence — Platine</w:t>
            </w:r>
          </w:p>
        </w:tc>
      </w:tr>
      <w:tr>
        <w:tc>
          <w:tcPr>
            <w:tcW w:type="dxa" w:w="8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D4A2E"/>
                <w:sz w:val="200"/>
                <w:szCs w:val="200"/>
              </w:rPr>
              <w:t xml:space="preserve">GWP-BAT</w:t>
            </w:r>
          </w:p>
        </w:tc>
        <w:tc>
          <w:tcPr>
            <w:tcW w:type="dxa" w:w="20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200"/>
                <w:szCs w:val="200"/>
              </w:rPr>
              <w:t xml:space="preserve">Bâtiments Verts</w:t>
            </w:r>
          </w:p>
        </w:tc>
        <w:tc>
          <w:tcPr>
            <w:tcW w:type="dxa" w:w="44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00"/>
                <w:szCs w:val="200"/>
              </w:rPr>
              <w:t xml:space="preserve">Construction et réhabilitation durable. RE2020, E+C−, CSRD, Taxonomie Bâtiment.</w:t>
            </w:r>
          </w:p>
        </w:tc>
        <w:tc>
          <w:tcPr>
            <w:tcW w:type="dxa" w:w="18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180"/>
                <w:szCs w:val="180"/>
              </w:rPr>
              <w:t xml:space="preserve">Essentiel — Avancé — Excellence — Platine</w:t>
            </w:r>
          </w:p>
        </w:tc>
      </w:tr>
      <w:tr>
        <w:tc>
          <w:tcPr>
            <w:tcW w:type="dxa" w:w="8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D4A2E"/>
                <w:sz w:val="200"/>
                <w:szCs w:val="200"/>
              </w:rPr>
              <w:t xml:space="preserve">GWP-INFRA</w:t>
            </w:r>
          </w:p>
        </w:tc>
        <w:tc>
          <w:tcPr>
            <w:tcW w:type="dxa" w:w="20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200"/>
                <w:szCs w:val="200"/>
              </w:rPr>
              <w:t xml:space="preserve">Infrastructures Durables</w:t>
            </w:r>
          </w:p>
        </w:tc>
        <w:tc>
          <w:tcPr>
            <w:tcW w:type="dxa" w:w="44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00"/>
                <w:szCs w:val="200"/>
              </w:rPr>
              <w:t xml:space="preserve">Ouvrages, réseaux, transports, hydraulique. ACV matériaux obligatoire.</w:t>
            </w:r>
          </w:p>
        </w:tc>
        <w:tc>
          <w:tcPr>
            <w:tcW w:type="dxa" w:w="18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180"/>
                <w:szCs w:val="180"/>
              </w:rPr>
              <w:t xml:space="preserve">Essentiel — Avancé — Excellence — Platine</w:t>
            </w:r>
          </w:p>
        </w:tc>
      </w:tr>
      <w:tr>
        <w:tc>
          <w:tcPr>
            <w:tcW w:type="dxa" w:w="8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D4A2E"/>
                <w:sz w:val="200"/>
                <w:szCs w:val="200"/>
              </w:rPr>
              <w:t xml:space="preserve">GWP-TRANS</w:t>
            </w:r>
          </w:p>
        </w:tc>
        <w:tc>
          <w:tcPr>
            <w:tcW w:type="dxa" w:w="20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200"/>
                <w:szCs w:val="200"/>
              </w:rPr>
              <w:t xml:space="preserve">Transition Énergétique &amp; H2</w:t>
            </w:r>
          </w:p>
        </w:tc>
        <w:tc>
          <w:tcPr>
            <w:tcW w:type="dxa" w:w="44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00"/>
                <w:szCs w:val="200"/>
              </w:rPr>
              <w:t xml:space="preserve">Décarbonation, hydrogène vert, BESS, systèmes hybrides ENR. Taxonomie H2.</w:t>
            </w:r>
          </w:p>
        </w:tc>
        <w:tc>
          <w:tcPr>
            <w:tcW w:type="dxa" w:w="18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180"/>
                <w:szCs w:val="180"/>
              </w:rPr>
              <w:t xml:space="preserve">Essentiel — Avancé — Excellence — Platine</w:t>
            </w:r>
          </w:p>
        </w:tc>
      </w:tr>
      <w:tr>
        <w:tc>
          <w:tcPr>
            <w:tcW w:type="dxa" w:w="8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D4A2E"/>
                <w:sz w:val="200"/>
                <w:szCs w:val="200"/>
              </w:rPr>
              <w:t xml:space="preserve">GWP-ENV</w:t>
            </w:r>
          </w:p>
        </w:tc>
        <w:tc>
          <w:tcPr>
            <w:tcW w:type="dxa" w:w="20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200"/>
                <w:szCs w:val="200"/>
              </w:rPr>
              <w:t xml:space="preserve">Impact Env. &amp; RSE</w:t>
            </w:r>
          </w:p>
        </w:tc>
        <w:tc>
          <w:tcPr>
            <w:tcW w:type="dxa" w:w="44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00"/>
                <w:szCs w:val="200"/>
              </w:rPr>
              <w:t xml:space="preserve">ACV, bilan carbone S1+2+3, biodiversité, eau, RSE. BEGES + Plan de transition.</w:t>
            </w:r>
          </w:p>
        </w:tc>
        <w:tc>
          <w:tcPr>
            <w:tcW w:type="dxa" w:w="18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180"/>
                <w:szCs w:val="180"/>
              </w:rPr>
              <w:t xml:space="preserve">Essentiel — Avancé — Excellence — Platine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r>
        <w:br w:type="page"/>
      </w:r>
    </w:p>
    <w:p>
      <w:pPr>
        <w:pStyle w:val="Heading1"/>
        <w:pBdr>
          <w:bottom w:val="single" w:color="C8960C" w:sz="6"/>
        </w:pBdr>
        <w:spacing w:after="160" w:before="320"/>
      </w:pPr>
      <w:r>
        <w:rPr>
          <w:rFonts w:ascii="Arial" w:cs="Arial" w:eastAsia="Arial" w:hAnsi="Arial"/>
          <w:b/>
          <w:bCs/>
          <w:color w:val="0D4A2E"/>
          <w:sz w:val="320"/>
          <w:szCs w:val="320"/>
        </w:rPr>
        <w:t xml:space="preserve">6. Système de Niveaux GWP — 4 Niveaux Progressifs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pPr>
        <w:spacing w:after="120" w:before="6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Le niveau est déterminé par le score obtenu lors de l'audit indépendant basé sur les critères ADEME et européens. Valable 3 ans.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pPr>
        <w:pBdr>
          <w:left w:val="single" w:color="2d6a2d" w:sz="14"/>
        </w:pBdr>
        <w:shd w:fill="D4EDDA" w:val="clear"/>
        <w:spacing w:after="80" w:before="120"/>
      </w:pPr>
      <w:r>
        <w:rPr>
          <w:rFonts w:ascii="Arial" w:cs="Arial" w:eastAsia="Arial" w:hAnsi="Arial"/>
          <w:b/>
          <w:bCs/>
          <w:color w:val="2d6a2d"/>
          <w:sz w:val="240"/>
          <w:szCs w:val="240"/>
        </w:rPr>
        <w:t xml:space="preserve">  NIVEAU 01 — GWP ESSENTIEL (Score &gt;= 60/100) — Signataire : Sonia Wissem</w:t>
      </w:r>
    </w:p>
    <w:p>
      <w:pPr>
        <w:pStyle w:val="ListParagraph"/>
        <w:numPr>
          <w:ilvl w:val="0"/>
          <w:numId w:val="2"/>
        </w:numPr>
        <w:spacing w:after="8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Réduction CO2 &gt;= 20% vs référence sectorielle (Base Carbone® ADEME)</w:t>
      </w:r>
    </w:p>
    <w:p>
      <w:pPr>
        <w:pStyle w:val="ListParagraph"/>
        <w:numPr>
          <w:ilvl w:val="0"/>
          <w:numId w:val="2"/>
        </w:numPr>
        <w:spacing w:after="8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BEGES Scopes 1 et 2 documenté et publié sur bilans-ges.ademe.fr</w:t>
      </w:r>
    </w:p>
    <w:p>
      <w:pPr>
        <w:pStyle w:val="ListParagraph"/>
        <w:numPr>
          <w:ilvl w:val="0"/>
          <w:numId w:val="2"/>
        </w:numPr>
        <w:spacing w:after="8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Plan de gestion environnementale validé et mis en oeuvre</w:t>
      </w:r>
    </w:p>
    <w:p>
      <w:pPr>
        <w:pStyle w:val="ListParagraph"/>
        <w:numPr>
          <w:ilvl w:val="0"/>
          <w:numId w:val="2"/>
        </w:numPr>
        <w:spacing w:after="8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Audit technique indépendant réussi (conformité ISO 14064-1)</w:t>
      </w:r>
    </w:p>
    <w:p>
      <w:pPr>
        <w:pStyle w:val="ListParagraph"/>
        <w:numPr>
          <w:ilvl w:val="0"/>
          <w:numId w:val="2"/>
        </w:numPr>
        <w:spacing w:after="8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Conformité aux normes locales et réglementations applicables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pPr>
        <w:pBdr>
          <w:left w:val="single" w:color="0D4A2E" w:sz="14"/>
        </w:pBdr>
        <w:shd w:fill="EAF5EE" w:val="clear"/>
        <w:spacing w:after="80" w:before="120"/>
      </w:pPr>
      <w:r>
        <w:rPr>
          <w:rFonts w:ascii="Arial" w:cs="Arial" w:eastAsia="Arial" w:hAnsi="Arial"/>
          <w:b/>
          <w:bCs/>
          <w:color w:val="0D4A2E"/>
          <w:sz w:val="240"/>
          <w:szCs w:val="240"/>
        </w:rPr>
        <w:t xml:space="preserve">  NIVEAU 02 — GWP AVANCÉ (Score &gt;= 72/100) — Signataire : Eric Vincent</w:t>
      </w:r>
    </w:p>
    <w:p>
      <w:pPr>
        <w:pStyle w:val="ListParagraph"/>
        <w:numPr>
          <w:ilvl w:val="0"/>
          <w:numId w:val="2"/>
        </w:numPr>
        <w:spacing w:after="8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Réduction CO2 &gt;= 40% vs référence sectorielle</w:t>
      </w:r>
    </w:p>
    <w:p>
      <w:pPr>
        <w:pStyle w:val="ListParagraph"/>
        <w:numPr>
          <w:ilvl w:val="0"/>
          <w:numId w:val="2"/>
        </w:numPr>
        <w:spacing w:after="8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BEGES complet Scopes 1+2+3 (obligatoire décret BEGES jan. 2023)</w:t>
      </w:r>
    </w:p>
    <w:p>
      <w:pPr>
        <w:pStyle w:val="ListParagraph"/>
        <w:numPr>
          <w:ilvl w:val="0"/>
          <w:numId w:val="2"/>
        </w:numPr>
        <w:spacing w:after="8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ACV complète selon méthode ADEME Base Impacts®</w:t>
      </w:r>
    </w:p>
    <w:p>
      <w:pPr>
        <w:pStyle w:val="ListParagraph"/>
        <w:numPr>
          <w:ilvl w:val="0"/>
          <w:numId w:val="2"/>
        </w:numPr>
        <w:spacing w:after="8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Monitoring en temps réel des performances environnementales</w:t>
      </w:r>
    </w:p>
    <w:p>
      <w:pPr>
        <w:pStyle w:val="ListParagraph"/>
        <w:numPr>
          <w:ilvl w:val="0"/>
          <w:numId w:val="2"/>
        </w:numPr>
        <w:spacing w:after="8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Plan de transition énergétique sur 5 ans formalisé</w:t>
      </w:r>
    </w:p>
    <w:p>
      <w:pPr>
        <w:pStyle w:val="ListParagraph"/>
        <w:numPr>
          <w:ilvl w:val="0"/>
          <w:numId w:val="2"/>
        </w:numPr>
        <w:spacing w:after="8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Critère Taxonomie Verte UE respecté : &lt; 100g CO2e/kWh pour projets ENR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pPr>
        <w:pBdr>
          <w:left w:val="single" w:color="C8960C" w:sz="14"/>
        </w:pBdr>
        <w:shd w:fill="FFF8E8" w:val="clear"/>
        <w:spacing w:after="80" w:before="120"/>
      </w:pPr>
      <w:r>
        <w:rPr>
          <w:rFonts w:ascii="Arial" w:cs="Arial" w:eastAsia="Arial" w:hAnsi="Arial"/>
          <w:b/>
          <w:bCs/>
          <w:color w:val="C8960C"/>
          <w:sz w:val="240"/>
          <w:szCs w:val="240"/>
        </w:rPr>
        <w:t xml:space="preserve">  NIVEAU 03 — GWP EXCELLENCE (Score &gt;= 85/100) — Co-signatures : E. Vincent + S. Wissem</w:t>
      </w:r>
    </w:p>
    <w:p>
      <w:pPr>
        <w:pStyle w:val="ListParagraph"/>
        <w:numPr>
          <w:ilvl w:val="0"/>
          <w:numId w:val="2"/>
        </w:numPr>
        <w:spacing w:after="8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Réduction CO2 &gt;= 60% — Standard Fit for 55 et RED III −80%</w:t>
      </w:r>
    </w:p>
    <w:p>
      <w:pPr>
        <w:pStyle w:val="ListParagraph"/>
        <w:numPr>
          <w:ilvl w:val="0"/>
          <w:numId w:val="2"/>
        </w:numPr>
        <w:spacing w:after="8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Neutralité carbone documentée et vérifiée par tiers indépendant</w:t>
      </w:r>
    </w:p>
    <w:p>
      <w:pPr>
        <w:pStyle w:val="ListParagraph"/>
        <w:numPr>
          <w:ilvl w:val="0"/>
          <w:numId w:val="2"/>
        </w:numPr>
        <w:spacing w:after="8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Innovation technologique verte démontrée et réplicable</w:t>
      </w:r>
    </w:p>
    <w:p>
      <w:pPr>
        <w:pStyle w:val="ListParagraph"/>
        <w:numPr>
          <w:ilvl w:val="0"/>
          <w:numId w:val="2"/>
        </w:numPr>
        <w:spacing w:after="8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Rapport de durabilité annuel publié (GRI Standards ou équivalent CSRD)</w:t>
      </w:r>
    </w:p>
    <w:p>
      <w:pPr>
        <w:pStyle w:val="ListParagraph"/>
        <w:numPr>
          <w:ilvl w:val="0"/>
          <w:numId w:val="2"/>
        </w:numPr>
        <w:spacing w:after="8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Jumeau numérique ou outil de suivi environnemental avancé</w:t>
      </w:r>
    </w:p>
    <w:p>
      <w:pPr>
        <w:pStyle w:val="ListParagraph"/>
        <w:numPr>
          <w:ilvl w:val="0"/>
          <w:numId w:val="2"/>
        </w:numPr>
        <w:spacing w:after="8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Engagement actif ODD — Objectifs de Développement Durable ONU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pPr>
        <w:pBdr>
          <w:left w:val="single" w:color="555555" w:sz="14"/>
        </w:pBdr>
        <w:shd w:fill="EEEEEE" w:val="clear"/>
        <w:spacing w:after="80" w:before="120"/>
      </w:pPr>
      <w:r>
        <w:rPr>
          <w:rFonts w:ascii="Arial" w:cs="Arial" w:eastAsia="Arial" w:hAnsi="Arial"/>
          <w:b/>
          <w:bCs/>
          <w:color w:val="555555"/>
          <w:sz w:val="240"/>
          <w:szCs w:val="240"/>
        </w:rPr>
        <w:t xml:space="preserve">  NIVEAU 04 — GWP PLATINE (Score &gt;= 95/100) — Signataires : Vincent · Wissem · El Banide</w:t>
      </w:r>
    </w:p>
    <w:p>
      <w:pPr>
        <w:pStyle w:val="ListParagraph"/>
        <w:numPr>
          <w:ilvl w:val="0"/>
          <w:numId w:val="2"/>
        </w:numPr>
        <w:spacing w:after="8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Impact carbone net négatif — au-delà de la neutralité carbone</w:t>
      </w:r>
    </w:p>
    <w:p>
      <w:pPr>
        <w:pStyle w:val="ListParagraph"/>
        <w:numPr>
          <w:ilvl w:val="0"/>
          <w:numId w:val="2"/>
        </w:numPr>
        <w:spacing w:after="8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Contribution active à la biodiversité locale mesurée et vérifiée</w:t>
      </w:r>
    </w:p>
    <w:p>
      <w:pPr>
        <w:pStyle w:val="ListParagraph"/>
        <w:numPr>
          <w:ilvl w:val="0"/>
          <w:numId w:val="2"/>
        </w:numPr>
        <w:spacing w:after="8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Innovation brevetée, publiée ou licenciée</w:t>
      </w:r>
    </w:p>
    <w:p>
      <w:pPr>
        <w:pStyle w:val="ListParagraph"/>
        <w:numPr>
          <w:ilvl w:val="0"/>
          <w:numId w:val="2"/>
        </w:numPr>
        <w:spacing w:after="8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Programme de formation et transfert de compétences actif</w:t>
      </w:r>
    </w:p>
    <w:p>
      <w:pPr>
        <w:pStyle w:val="ListParagraph"/>
        <w:numPr>
          <w:ilvl w:val="0"/>
          <w:numId w:val="2"/>
        </w:numPr>
        <w:spacing w:after="8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Audit externe réalisé par organisme certifié ISO 17021</w:t>
      </w:r>
    </w:p>
    <w:p>
      <w:pPr>
        <w:pStyle w:val="ListParagraph"/>
        <w:numPr>
          <w:ilvl w:val="0"/>
          <w:numId w:val="2"/>
        </w:numPr>
        <w:spacing w:after="8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Engagement ODD ONU documenté avec indicateurs mesurés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r>
        <w:br w:type="page"/>
      </w:r>
    </w:p>
    <w:p>
      <w:pPr>
        <w:pStyle w:val="Heading1"/>
        <w:pBdr>
          <w:bottom w:val="single" w:color="C8960C" w:sz="6"/>
        </w:pBdr>
        <w:spacing w:after="160" w:before="320"/>
      </w:pPr>
      <w:r>
        <w:rPr>
          <w:rFonts w:ascii="Arial" w:cs="Arial" w:eastAsia="Arial" w:hAnsi="Arial"/>
          <w:b/>
          <w:bCs/>
          <w:color w:val="0D4A2E"/>
          <w:sz w:val="320"/>
          <w:szCs w:val="320"/>
        </w:rPr>
        <w:t xml:space="preserve">7. Processus de Certification en 5 Étapes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pPr>
        <w:spacing w:after="120" w:before="6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Un processus transparent, rigoureux et accompagné — de votre première candidature à la remise du certificat officiel GWP. Premier contact uniquement par email.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C8960C"/>
          <w:sz w:val="260"/>
          <w:szCs w:val="260"/>
        </w:rPr>
        <w:t xml:space="preserve">Étape 1 — Dépôt de candidature (J+0) — Gratuit</w:t>
      </w:r>
    </w:p>
    <w:p>
      <w:pPr>
        <w:pStyle w:val="ListParagraph"/>
        <w:numPr>
          <w:ilvl w:val="0"/>
          <w:numId w:val="2"/>
        </w:numPr>
        <w:spacing w:after="8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Envoi d'un email à votre bureau GWP référent avec une description de votre projet ou organisation</w:t>
      </w:r>
    </w:p>
    <w:p>
      <w:pPr>
        <w:pStyle w:val="ListParagraph"/>
        <w:numPr>
          <w:ilvl w:val="0"/>
          <w:numId w:val="2"/>
        </w:numPr>
        <w:spacing w:after="8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Dossier technique préliminaire : 10 à 20 pages décrivant le projet, les données GES disponibles et le niveau visé</w:t>
      </w:r>
    </w:p>
    <w:p>
      <w:pPr>
        <w:pStyle w:val="ListParagraph"/>
        <w:numPr>
          <w:ilvl w:val="0"/>
          <w:numId w:val="2"/>
        </w:numPr>
        <w:spacing w:after="8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Choix du domaine GWP (GWP-PV, GWP-BAT, GWP-INFRA, GWP-TRANS, GWP-ENV) et du niveau cible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C8960C"/>
          <w:sz w:val="260"/>
          <w:szCs w:val="260"/>
        </w:rPr>
        <w:t xml:space="preserve">Étape 2 — Analyse d'éligibilité (J+5 ouvrés)</w:t>
      </w:r>
    </w:p>
    <w:p>
      <w:pPr>
        <w:pStyle w:val="ListParagraph"/>
        <w:numPr>
          <w:ilvl w:val="0"/>
          <w:numId w:val="2"/>
        </w:numPr>
        <w:spacing w:after="8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Revue du dossier par l'équipe GWP — vérification de l'alignement ADEME et des critères UE</w:t>
      </w:r>
    </w:p>
    <w:p>
      <w:pPr>
        <w:pStyle w:val="ListParagraph"/>
        <w:numPr>
          <w:ilvl w:val="0"/>
          <w:numId w:val="2"/>
        </w:numPr>
        <w:spacing w:after="8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Retour écrit : éligibilité confirmée, niveau cible, documents complémentaires requis, proposition d'audit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C8960C"/>
          <w:sz w:val="260"/>
          <w:szCs w:val="260"/>
        </w:rPr>
        <w:t xml:space="preserve">Étape 3 — Audit &amp; Évaluation (J+20 à J+45)</w:t>
      </w:r>
    </w:p>
    <w:p>
      <w:pPr>
        <w:pStyle w:val="ListParagraph"/>
        <w:numPr>
          <w:ilvl w:val="0"/>
          <w:numId w:val="2"/>
        </w:numPr>
        <w:spacing w:after="8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Audit documentaire : BEGES, ACV, plans, rapports de performance GES</w:t>
      </w:r>
    </w:p>
    <w:p>
      <w:pPr>
        <w:pStyle w:val="ListParagraph"/>
        <w:numPr>
          <w:ilvl w:val="0"/>
          <w:numId w:val="2"/>
        </w:numPr>
        <w:spacing w:after="8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Grille d'évaluation standardisée (100 points) basée sur les critères ADEME et européens</w:t>
      </w:r>
    </w:p>
    <w:p>
      <w:pPr>
        <w:pStyle w:val="ListParagraph"/>
        <w:numPr>
          <w:ilvl w:val="0"/>
          <w:numId w:val="2"/>
        </w:numPr>
        <w:spacing w:after="8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Visite de site obligatoire pour les niveaux Excellence et Platine</w:t>
      </w:r>
    </w:p>
    <w:p>
      <w:pPr>
        <w:pStyle w:val="ListParagraph"/>
        <w:numPr>
          <w:ilvl w:val="0"/>
          <w:numId w:val="2"/>
        </w:numPr>
        <w:spacing w:after="8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Entretiens avec les équipes technique, RSE et direction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C8960C"/>
          <w:sz w:val="260"/>
          <w:szCs w:val="260"/>
        </w:rPr>
        <w:t xml:space="preserve">Étape 4 — Délibération du jury indépendant (J+50)</w:t>
      </w:r>
    </w:p>
    <w:p>
      <w:pPr>
        <w:pStyle w:val="ListParagraph"/>
        <w:numPr>
          <w:ilvl w:val="0"/>
          <w:numId w:val="2"/>
        </w:numPr>
        <w:spacing w:after="8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Jury de 3 à 5 experts internationaux : ingénierie, environnement, finance verte</w:t>
      </w:r>
    </w:p>
    <w:p>
      <w:pPr>
        <w:pStyle w:val="ListParagraph"/>
        <w:numPr>
          <w:ilvl w:val="0"/>
          <w:numId w:val="2"/>
        </w:numPr>
        <w:spacing w:after="8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Rapport détaillé : points forts, axes d'amélioration, recommandations ADEME/UE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C8960C"/>
          <w:sz w:val="260"/>
          <w:szCs w:val="260"/>
        </w:rPr>
        <w:t xml:space="preserve">Étape 5 — Remise du certificat (J+60) — Valide 3 ans</w:t>
      </w:r>
    </w:p>
    <w:p>
      <w:pPr>
        <w:pStyle w:val="ListParagraph"/>
        <w:numPr>
          <w:ilvl w:val="0"/>
          <w:numId w:val="2"/>
        </w:numPr>
        <w:spacing w:after="8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Certificat signé selon le protocole par niveau (Essentiel : S. Wissem ; Avancé : E. Vincent ; Excellence : co-signatures ; Platine : 3 signataires)</w:t>
      </w:r>
    </w:p>
    <w:p>
      <w:pPr>
        <w:pStyle w:val="ListParagraph"/>
        <w:numPr>
          <w:ilvl w:val="0"/>
          <w:numId w:val="2"/>
        </w:numPr>
        <w:spacing w:after="8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Logo GWP haute résolution + inscription au registre international Green World Planet</w:t>
      </w:r>
    </w:p>
    <w:p>
      <w:pPr>
        <w:pStyle w:val="ListParagraph"/>
        <w:numPr>
          <w:ilvl w:val="0"/>
          <w:numId w:val="2"/>
        </w:numPr>
        <w:spacing w:after="80" w:before="4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Bilan carbone conforme ADEME inclus dans le rapport d'audit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r>
        <w:br w:type="page"/>
      </w:r>
    </w:p>
    <w:p>
      <w:pPr>
        <w:pStyle w:val="Heading1"/>
        <w:pBdr>
          <w:bottom w:val="single" w:color="C8960C" w:sz="6"/>
        </w:pBdr>
        <w:spacing w:after="160" w:before="320"/>
      </w:pPr>
      <w:r>
        <w:rPr>
          <w:rFonts w:ascii="Arial" w:cs="Arial" w:eastAsia="Arial" w:hAnsi="Arial"/>
          <w:b/>
          <w:bCs/>
          <w:color w:val="0D4A2E"/>
          <w:sz w:val="320"/>
          <w:szCs w:val="320"/>
        </w:rPr>
        <w:t xml:space="preserve">8. Grille d'Évaluation GWP — Critères &amp; Pondération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pPr>
        <w:spacing w:after="120" w:before="6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6 catégories de critères alignés sur la méthodologie ADEME et les critères techniques européens. Score total sur 100 points par domaine.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1200"/>
        <w:gridCol w:w="4426"/>
      </w:tblGrid>
      <w:tr>
        <w:tc>
          <w:tcPr>
            <w:tcW w:type="dxa" w:w="34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0D4A2E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0"/>
                <w:szCs w:val="200"/>
              </w:rPr>
              <w:t xml:space="preserve">Catégorie d'évaluation</w:t>
            </w:r>
          </w:p>
        </w:tc>
        <w:tc>
          <w:tcPr>
            <w:tcW w:type="dxa" w:w="12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0D4A2E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0"/>
                <w:szCs w:val="200"/>
              </w:rPr>
              <w:t xml:space="preserve">Poids</w:t>
            </w:r>
          </w:p>
        </w:tc>
        <w:tc>
          <w:tcPr>
            <w:tcW w:type="dxa" w:w="44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0D4A2E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0"/>
                <w:szCs w:val="200"/>
              </w:rPr>
              <w:t xml:space="preserve">Indicateurs ADEME / UE associés</w:t>
            </w:r>
          </w:p>
        </w:tc>
      </w:tr>
      <w:tr>
        <w:tc>
          <w:tcPr>
            <w:tcW w:type="dxa" w:w="34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4FA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200"/>
                <w:szCs w:val="200"/>
              </w:rPr>
              <w:t xml:space="preserve">Performance carbone &amp; énergie (ADEME Scope 1+2+3)</w:t>
            </w:r>
          </w:p>
        </w:tc>
        <w:tc>
          <w:tcPr>
            <w:tcW w:type="dxa" w:w="12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4FA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8960C"/>
                <w:sz w:val="200"/>
                <w:szCs w:val="200"/>
              </w:rPr>
              <w:t xml:space="preserve">25 pts</w:t>
            </w:r>
          </w:p>
        </w:tc>
        <w:tc>
          <w:tcPr>
            <w:tcW w:type="dxa" w:w="44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4FA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190"/>
                <w:szCs w:val="190"/>
              </w:rPr>
              <w:t xml:space="preserve">Réduction CO2 vs Base Carbone® — Intensité énergétique — Part ENR — Neutralité carbone vérifiée</w:t>
            </w:r>
          </w:p>
        </w:tc>
      </w:tr>
      <w:tr>
        <w:tc>
          <w:tcPr>
            <w:tcW w:type="dxa" w:w="34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200"/>
                <w:szCs w:val="200"/>
              </w:rPr>
              <w:t xml:space="preserve">Alignement réglementaire (UE &amp; France)</w:t>
            </w:r>
          </w:p>
        </w:tc>
        <w:tc>
          <w:tcPr>
            <w:tcW w:type="dxa" w:w="12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8960C"/>
                <w:sz w:val="200"/>
                <w:szCs w:val="200"/>
              </w:rPr>
              <w:t xml:space="preserve">20 pts</w:t>
            </w:r>
          </w:p>
        </w:tc>
        <w:tc>
          <w:tcPr>
            <w:tcW w:type="dxa" w:w="44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190"/>
                <w:szCs w:val="190"/>
              </w:rPr>
              <w:t xml:space="preserve">Taxonomie UE — Fit for 55 — RED III −80% — RE2020 — CSRD — BEGES publié — ISO 14064</w:t>
            </w:r>
          </w:p>
        </w:tc>
      </w:tr>
      <w:tr>
        <w:tc>
          <w:tcPr>
            <w:tcW w:type="dxa" w:w="34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4FA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200"/>
                <w:szCs w:val="200"/>
              </w:rPr>
              <w:t xml:space="preserve">Innovation technologique verte</w:t>
            </w:r>
          </w:p>
        </w:tc>
        <w:tc>
          <w:tcPr>
            <w:tcW w:type="dxa" w:w="12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4FA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8960C"/>
                <w:sz w:val="200"/>
                <w:szCs w:val="200"/>
              </w:rPr>
              <w:t xml:space="preserve">20 pts</w:t>
            </w:r>
          </w:p>
        </w:tc>
        <w:tc>
          <w:tcPr>
            <w:tcW w:type="dxa" w:w="44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4FA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190"/>
                <w:szCs w:val="190"/>
              </w:rPr>
              <w:t xml:space="preserve">Technologies déployées vs état de l'art — Brevets — Publications — Réplicabilité</w:t>
            </w:r>
          </w:p>
        </w:tc>
      </w:tr>
      <w:tr>
        <w:tc>
          <w:tcPr>
            <w:tcW w:type="dxa" w:w="34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200"/>
                <w:szCs w:val="200"/>
              </w:rPr>
              <w:t xml:space="preserve">Impact social &amp; communautaire</w:t>
            </w:r>
          </w:p>
        </w:tc>
        <w:tc>
          <w:tcPr>
            <w:tcW w:type="dxa" w:w="12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8960C"/>
                <w:sz w:val="200"/>
                <w:szCs w:val="200"/>
              </w:rPr>
              <w:t xml:space="preserve">15 pts</w:t>
            </w:r>
          </w:p>
        </w:tc>
        <w:tc>
          <w:tcPr>
            <w:tcW w:type="dxa" w:w="44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190"/>
                <w:szCs w:val="190"/>
              </w:rPr>
              <w:t xml:space="preserve">Emplois locaux — Formation — Accès énergie — Biodiversité ADEME — ODD ONU</w:t>
            </w:r>
          </w:p>
        </w:tc>
      </w:tr>
      <w:tr>
        <w:tc>
          <w:tcPr>
            <w:tcW w:type="dxa" w:w="34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4FA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200"/>
                <w:szCs w:val="200"/>
              </w:rPr>
              <w:t xml:space="preserve">Gouvernance &amp; transparence</w:t>
            </w:r>
          </w:p>
        </w:tc>
        <w:tc>
          <w:tcPr>
            <w:tcW w:type="dxa" w:w="12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4FA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8960C"/>
                <w:sz w:val="200"/>
                <w:szCs w:val="200"/>
              </w:rPr>
              <w:t xml:space="preserve">10 pts</w:t>
            </w:r>
          </w:p>
        </w:tc>
        <w:tc>
          <w:tcPr>
            <w:tcW w:type="dxa" w:w="44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4FA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190"/>
                <w:szCs w:val="190"/>
              </w:rPr>
              <w:t xml:space="preserve">Reporting GRI/CSRD — Audit interne — Publication ADEME — Parties prenantes</w:t>
            </w:r>
          </w:p>
        </w:tc>
      </w:tr>
      <w:tr>
        <w:tc>
          <w:tcPr>
            <w:tcW w:type="dxa" w:w="34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200"/>
                <w:szCs w:val="200"/>
              </w:rPr>
              <w:t xml:space="preserve">Vision &amp; engagement long terme</w:t>
            </w:r>
          </w:p>
        </w:tc>
        <w:tc>
          <w:tcPr>
            <w:tcW w:type="dxa" w:w="12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8960C"/>
                <w:sz w:val="200"/>
                <w:szCs w:val="200"/>
              </w:rPr>
              <w:t xml:space="preserve">10 pts</w:t>
            </w:r>
          </w:p>
        </w:tc>
        <w:tc>
          <w:tcPr>
            <w:tcW w:type="dxa" w:w="442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190"/>
                <w:szCs w:val="190"/>
              </w:rPr>
              <w:t xml:space="preserve">Feuille de route 10 ans — ODD — Contributions COP — Net Zero 2050 UE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r>
        <w:br w:type="page"/>
      </w:r>
    </w:p>
    <w:p>
      <w:pPr>
        <w:pStyle w:val="Heading1"/>
        <w:pBdr>
          <w:bottom w:val="single" w:color="C8960C" w:sz="6"/>
        </w:pBdr>
        <w:spacing w:after="160" w:before="320"/>
      </w:pPr>
      <w:r>
        <w:rPr>
          <w:rFonts w:ascii="Arial" w:cs="Arial" w:eastAsia="Arial" w:hAnsi="Arial"/>
          <w:b/>
          <w:bCs/>
          <w:color w:val="0D4A2E"/>
          <w:sz w:val="320"/>
          <w:szCs w:val="320"/>
        </w:rPr>
        <w:t xml:space="preserve">9. Contact &amp; Candidature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pPr>
        <w:spacing w:after="120" w:before="60"/>
      </w:pPr>
      <w:r>
        <w:rPr>
          <w:rFonts w:ascii="Arial" w:cs="Arial" w:eastAsia="Arial" w:hAnsi="Arial"/>
          <w:color w:val="111111"/>
          <w:sz w:val="220"/>
          <w:szCs w:val="220"/>
        </w:rPr>
        <w:t xml:space="preserve">Premier contact uniquement par email — nos équipes analysent votre dossier et vous proposent le niveau de certification adapté sous 5 jours ouvrés.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pPr>
        <w:tabs>
          <w:tab w:val="left" w:pos="3000"/>
        </w:tabs>
        <w:spacing w:after="80" w:before="40"/>
      </w:pPr>
      <w:r>
        <w:rPr>
          <w:rFonts w:ascii="Arial" w:cs="Arial" w:eastAsia="Arial" w:hAnsi="Arial"/>
          <w:b/>
          <w:bCs/>
          <w:color w:val="C8960C"/>
          <w:sz w:val="220"/>
          <w:szCs w:val="220"/>
        </w:rPr>
        <w:t xml:space="preserve">Paris — Siège GWP</w:t>
      </w:r>
      <w:r>
        <w:rPr>
          <w:rFonts w:ascii="Arial" w:cs="Arial" w:eastAsia="Arial" w:hAnsi="Arial"/>
          <w:color w:val="111111"/>
          <w:sz w:val="220"/>
          <w:szCs w:val="220"/>
        </w:rPr>
        <w:t xml:space="preserve">	gwtmarielefebvre@green-world-planet.com</w:t>
      </w:r>
    </w:p>
    <w:p>
      <w:pPr>
        <w:tabs>
          <w:tab w:val="left" w:pos="3000"/>
        </w:tabs>
        <w:spacing w:after="80" w:before="40"/>
      </w:pPr>
      <w:r>
        <w:rPr>
          <w:rFonts w:ascii="Arial" w:cs="Arial" w:eastAsia="Arial" w:hAnsi="Arial"/>
          <w:b/>
          <w:bCs/>
          <w:color w:val="C8960C"/>
          <w:sz w:val="220"/>
          <w:szCs w:val="220"/>
        </w:rPr>
        <w:t xml:space="preserve">Bruxelles / Londres / Berlin</w:t>
      </w:r>
      <w:r>
        <w:rPr>
          <w:rFonts w:ascii="Arial" w:cs="Arial" w:eastAsia="Arial" w:hAnsi="Arial"/>
          <w:color w:val="111111"/>
          <w:sz w:val="220"/>
          <w:szCs w:val="220"/>
        </w:rPr>
        <w:t xml:space="preserve">	gwtemanuelfitche@green-world-planet.com</w:t>
      </w:r>
    </w:p>
    <w:p>
      <w:pPr>
        <w:tabs>
          <w:tab w:val="left" w:pos="3000"/>
        </w:tabs>
        <w:spacing w:after="80" w:before="40"/>
      </w:pPr>
      <w:r>
        <w:rPr>
          <w:rFonts w:ascii="Arial" w:cs="Arial" w:eastAsia="Arial" w:hAnsi="Arial"/>
          <w:b/>
          <w:bCs/>
          <w:color w:val="C8960C"/>
          <w:sz w:val="220"/>
          <w:szCs w:val="220"/>
        </w:rPr>
        <w:t xml:space="preserve">Alger — Zone Afrique</w:t>
      </w:r>
      <w:r>
        <w:rPr>
          <w:rFonts w:ascii="Arial" w:cs="Arial" w:eastAsia="Arial" w:hAnsi="Arial"/>
          <w:color w:val="111111"/>
          <w:sz w:val="220"/>
          <w:szCs w:val="220"/>
        </w:rPr>
        <w:t xml:space="preserve">	gwtcherifbouzaroura@green-world-planet.com</w:t>
      </w:r>
    </w:p>
    <w:p>
      <w:pPr>
        <w:tabs>
          <w:tab w:val="left" w:pos="3000"/>
        </w:tabs>
        <w:spacing w:after="80" w:before="40"/>
      </w:pPr>
      <w:r>
        <w:rPr>
          <w:rFonts w:ascii="Arial" w:cs="Arial" w:eastAsia="Arial" w:hAnsi="Arial"/>
          <w:b/>
          <w:bCs/>
          <w:color w:val="C8960C"/>
          <w:sz w:val="220"/>
          <w:szCs w:val="220"/>
        </w:rPr>
        <w:t xml:space="preserve">Riyad / Shanghai</w:t>
      </w:r>
      <w:r>
        <w:rPr>
          <w:rFonts w:ascii="Arial" w:cs="Arial" w:eastAsia="Arial" w:hAnsi="Arial"/>
          <w:color w:val="111111"/>
          <w:sz w:val="220"/>
          <w:szCs w:val="220"/>
        </w:rPr>
        <w:t xml:space="preserve">	gwtericvincent@green-world-planet.com</w:t>
      </w:r>
    </w:p>
    <w:p>
      <w:pPr>
        <w:tabs>
          <w:tab w:val="left" w:pos="3000"/>
        </w:tabs>
        <w:spacing w:after="80" w:before="40"/>
      </w:pPr>
      <w:r>
        <w:rPr>
          <w:rFonts w:ascii="Arial" w:cs="Arial" w:eastAsia="Arial" w:hAnsi="Arial"/>
          <w:b/>
          <w:bCs/>
          <w:color w:val="C8960C"/>
          <w:sz w:val="220"/>
          <w:szCs w:val="220"/>
        </w:rPr>
        <w:t xml:space="preserve">Moscou — Russie &amp; CEI</w:t>
      </w:r>
      <w:r>
        <w:rPr>
          <w:rFonts w:ascii="Arial" w:cs="Arial" w:eastAsia="Arial" w:hAnsi="Arial"/>
          <w:color w:val="111111"/>
          <w:sz w:val="220"/>
          <w:szCs w:val="220"/>
        </w:rPr>
        <w:t xml:space="preserve">	gwtnadiaelbanide@green-world-planet.com</w:t>
      </w:r>
    </w:p>
    <w:p>
      <w:pPr>
        <w:tabs>
          <w:tab w:val="left" w:pos="3000"/>
        </w:tabs>
        <w:spacing w:after="80" w:before="40"/>
      </w:pPr>
      <w:r>
        <w:rPr>
          <w:rFonts w:ascii="Arial" w:cs="Arial" w:eastAsia="Arial" w:hAnsi="Arial"/>
          <w:b/>
          <w:bCs/>
          <w:color w:val="C8960C"/>
          <w:sz w:val="220"/>
          <w:szCs w:val="220"/>
        </w:rPr>
        <w:t xml:space="preserve">Site web</w:t>
      </w:r>
      <w:r>
        <w:rPr>
          <w:rFonts w:ascii="Arial" w:cs="Arial" w:eastAsia="Arial" w:hAnsi="Arial"/>
          <w:color w:val="111111"/>
          <w:sz w:val="220"/>
          <w:szCs w:val="220"/>
        </w:rPr>
        <w:t xml:space="preserve">	green-world-planet.com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pPr>
        <w:spacing w:after="120" w:before="120"/>
      </w:pPr>
      <w:r>
        <w:rPr>
          <w:rFonts w:ascii="Arial" w:cs="Arial" w:eastAsia="Arial" w:hAnsi="Arial"/>
          <w:color w:val="FFFFFF"/>
          <w:sz w:val="220"/>
          <w:szCs w:val="220"/>
        </w:rPr>
        <w:t xml:space="preserve"> </w:t>
      </w:r>
    </w:p>
    <w:p>
      <w:pPr>
        <w:pBdr>
          <w:top w:val="single" w:color="C8960C" w:sz="6"/>
        </w:pBdr>
        <w:spacing w:after="120" w:before="320"/>
        <w:jc w:val="center"/>
      </w:pPr>
      <w:r>
        <w:rPr>
          <w:rFonts w:ascii="Arial" w:cs="Arial" w:eastAsia="Arial" w:hAnsi="Arial"/>
          <w:b/>
          <w:bCs/>
          <w:color w:val="0D4A2E"/>
          <w:sz w:val="260"/>
          <w:szCs w:val="260"/>
        </w:rPr>
        <w:t xml:space="preserve">GREEN  </w:t>
      </w:r>
      <w:r>
        <w:rPr>
          <w:rFonts w:ascii="Arial" w:cs="Arial" w:eastAsia="Arial" w:hAnsi="Arial"/>
          <w:b/>
          <w:bCs/>
          <w:color w:val="2E7D52"/>
          <w:sz w:val="260"/>
          <w:szCs w:val="260"/>
        </w:rPr>
        <w:t xml:space="preserve">WORLD  </w:t>
      </w:r>
      <w:r>
        <w:rPr>
          <w:rFonts w:ascii="Arial" w:cs="Arial" w:eastAsia="Arial" w:hAnsi="Arial"/>
          <w:b/>
          <w:bCs/>
          <w:color w:val="C8960C"/>
          <w:sz w:val="260"/>
          <w:szCs w:val="260"/>
        </w:rPr>
        <w:t xml:space="preserve">PLANET</w:t>
      </w:r>
      <w:r>
        <w:rPr>
          <w:rFonts w:ascii="Arial" w:cs="Arial" w:eastAsia="Arial" w:hAnsi="Arial"/>
          <w:color w:val="555555"/>
          <w:sz w:val="210"/>
          <w:szCs w:val="210"/>
        </w:rPr>
        <w:t xml:space="preserve">  —  Certification Internationale d'Ingénierie Verte v2.0 — ADEME &amp; Europe</w:t>
      </w:r>
    </w:p>
    <w:p>
      <w:pPr>
        <w:spacing w:after="80" w:before="0"/>
        <w:jc w:val="center"/>
      </w:pPr>
      <w:r>
        <w:rPr>
          <w:rFonts w:ascii="Arial" w:cs="Arial" w:eastAsia="Arial" w:hAnsi="Arial"/>
          <w:i/>
          <w:iCs/>
          <w:color w:val="555555"/>
          <w:sz w:val="200"/>
          <w:szCs w:val="200"/>
        </w:rPr>
        <w:t xml:space="preserve">Paris — Bruxelles — Londres — Berlin — Alger — Riyad — Shanghai — Moscou  —  green-world-planet.com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/>
      </w:pBdr>
      <w:tabs>
        <w:tab w:val="right" w:pos="9026"/>
      </w:tabs>
      <w:spacing w:before="80"/>
    </w:pPr>
    <w:r>
      <w:rPr>
        <w:rFonts w:ascii="Arial" w:cs="Arial" w:eastAsia="Arial" w:hAnsi="Arial"/>
        <w:color w:val="555555"/>
        <w:sz w:val="180"/>
        <w:szCs w:val="180"/>
      </w:rPr>
      <w:t xml:space="preserve">© 2026 Green World Planet — Ingénierie 3.0 — Confidentiel</w:t>
    </w:r>
    <w:r>
      <w:rPr>
        <w:rFonts w:ascii="Arial" w:cs="Arial" w:eastAsia="Arial" w:hAnsi="Arial"/>
        <w:sz w:val="180"/>
        <w:szCs w:val="180"/>
      </w:rPr>
      <w:t xml:space="preserve">	</w:t>
    </w:r>
    <w:r>
      <w:rPr>
        <w:rFonts w:ascii="Arial" w:cs="Arial" w:eastAsia="Arial" w:hAnsi="Arial"/>
        <w:color w:val="C8960C"/>
        <w:sz w:val="180"/>
        <w:szCs w:val="180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555555"/>
        <w:sz w:val="180"/>
        <w:szCs w:val="180"/>
      </w:rPr>
      <w:t xml:space="preserve"> / </w:t>
    </w:r>
    <w:r>
      <w:rPr>
        <w:rFonts w:ascii="Arial" w:cs="Arial" w:eastAsia="Arial" w:hAnsi="Arial"/>
        <w:color w:val="555555"/>
        <w:sz w:val="180"/>
        <w:szCs w:val="180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8960C" w:sz="6"/>
      </w:pBdr>
      <w:tabs>
        <w:tab w:val="right" w:pos="9026"/>
      </w:tabs>
      <w:spacing w:after="80"/>
    </w:pPr>
    <w:r>
      <w:rPr>
        <w:rFonts w:ascii="Arial" w:cs="Arial" w:eastAsia="Arial" w:hAnsi="Arial"/>
        <w:b/>
        <w:bCs/>
        <w:color w:val="0D4A2E"/>
        <w:sz w:val="180"/>
        <w:szCs w:val="180"/>
      </w:rPr>
      <w:t xml:space="preserve">GREEN WORLD PLANET  —  Référentiel Officiel v2.0  —  ADEME &amp; Europe</w:t>
    </w:r>
    <w:r>
      <w:rPr>
        <w:rFonts w:ascii="Arial" w:cs="Arial" w:eastAsia="Arial" w:hAnsi="Arial"/>
        <w:sz w:val="180"/>
        <w:szCs w:val="180"/>
      </w:rPr>
      <w:t xml:space="preserve">	</w:t>
    </w:r>
    <w:r>
      <w:rPr>
        <w:rFonts w:ascii="Arial" w:cs="Arial" w:eastAsia="Arial" w:hAnsi="Arial"/>
        <w:color w:val="C8960C"/>
        <w:sz w:val="180"/>
        <w:szCs w:val="180"/>
      </w:rPr>
      <w:t xml:space="preserve">green-world-planet.com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0"/>
        <w:szCs w:val="2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Arial" w:cs="Arial" w:eastAsia="Arial" w:hAnsi="Arial"/>
      <w:b/>
      <w:bCs/>
      <w:color w:val="0D4A2E"/>
      <w:sz w:val="320"/>
      <w:szCs w:val="320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C8960C"/>
      <w:sz w:val="260"/>
      <w:szCs w:val="26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2026-05-13T09:38:56.717Z</dcterms:created>
  <dcterms:modified xsi:type="dcterms:W3CDTF">2026-05-13T09:38:56.732Z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